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45"/>
        <w:gridCol w:w="7687"/>
      </w:tblGrid>
      <w:tr w:rsidR="008C70F3" w:rsidTr="005D4165">
        <w:tc>
          <w:tcPr>
            <w:tcW w:w="9832" w:type="dxa"/>
            <w:gridSpan w:val="2"/>
            <w:tcBorders>
              <w:top w:val="nil"/>
              <w:left w:val="nil"/>
              <w:right w:val="nil"/>
            </w:tcBorders>
          </w:tcPr>
          <w:p w:rsidR="00AC3935" w:rsidRPr="0091152A" w:rsidRDefault="00AC3935" w:rsidP="00AC3935">
            <w:pPr>
              <w:rPr>
                <w:sz w:val="16"/>
              </w:rPr>
            </w:pPr>
            <w:bookmarkStart w:id="0" w:name="_GoBack"/>
            <w:bookmarkEnd w:id="0"/>
            <w:r w:rsidRPr="000734A6">
              <w:rPr>
                <w:rFonts w:ascii="Georgia" w:hAnsi="Georgia"/>
                <w:i/>
                <w:noProof/>
                <w:sz w:val="32"/>
              </w:rPr>
              <w:drawing>
                <wp:inline distT="0" distB="0" distL="0" distR="0" wp14:anchorId="31961A69" wp14:editId="667FEE6E">
                  <wp:extent cx="1076325" cy="1438275"/>
                  <wp:effectExtent l="0" t="0" r="9525" b="9525"/>
                  <wp:docPr id="2" name="Picture 2" descr="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r w:rsidRPr="0091152A">
              <w:rPr>
                <w:rFonts w:ascii="Georgia" w:hAnsi="Georgia"/>
                <w:i/>
                <w:noProof/>
                <w:sz w:val="32"/>
              </w:rPr>
              <w:t xml:space="preserve">    Dennis J. Foegen, AAMS</w:t>
            </w:r>
            <w:r w:rsidRPr="0091152A">
              <w:rPr>
                <w:rFonts w:ascii="Georgia" w:hAnsi="Georgia"/>
                <w:i/>
                <w:noProof/>
                <w:sz w:val="20"/>
                <w:szCs w:val="20"/>
              </w:rPr>
              <w:t>®</w:t>
            </w:r>
            <w:r w:rsidRPr="0091152A">
              <w:rPr>
                <w:rFonts w:ascii="Georgia" w:hAnsi="Georgia"/>
                <w:i/>
                <w:noProof/>
                <w:sz w:val="32"/>
              </w:rPr>
              <w:t>, CFP</w:t>
            </w:r>
            <w:r w:rsidRPr="0091152A">
              <w:rPr>
                <w:rFonts w:ascii="Georgia" w:hAnsi="Georgia"/>
                <w:i/>
                <w:noProof/>
                <w:sz w:val="20"/>
                <w:szCs w:val="20"/>
              </w:rPr>
              <w:t xml:space="preserve">®    </w:t>
            </w:r>
            <w:r w:rsidRPr="000734A6">
              <w:rPr>
                <w:rFonts w:ascii="Georgia" w:hAnsi="Georgia"/>
                <w:i/>
                <w:noProof/>
                <w:sz w:val="32"/>
              </w:rPr>
              <w:drawing>
                <wp:inline distT="0" distB="0" distL="0" distR="0" wp14:anchorId="54EAEC51" wp14:editId="5378D104">
                  <wp:extent cx="1533525" cy="1104900"/>
                  <wp:effectExtent l="0" t="0" r="9525" b="0"/>
                  <wp:docPr id="1" name="Picture 1"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104900"/>
                          </a:xfrm>
                          <a:prstGeom prst="rect">
                            <a:avLst/>
                          </a:prstGeom>
                          <a:noFill/>
                          <a:ln>
                            <a:noFill/>
                          </a:ln>
                        </pic:spPr>
                      </pic:pic>
                    </a:graphicData>
                  </a:graphic>
                </wp:inline>
              </w:drawing>
            </w:r>
            <w:r w:rsidRPr="0091152A">
              <w:rPr>
                <w:rFonts w:ascii="Georgia" w:hAnsi="Georgia"/>
                <w:i/>
                <w:noProof/>
                <w:sz w:val="20"/>
                <w:szCs w:val="20"/>
              </w:rPr>
              <w:t xml:space="preserve"> </w:t>
            </w:r>
          </w:p>
          <w:p w:rsidR="00AC3935" w:rsidRPr="0091152A" w:rsidRDefault="00AC3935" w:rsidP="00AC3935">
            <w:pPr>
              <w:rPr>
                <w:rFonts w:ascii="Georgia" w:hAnsi="Georgia"/>
                <w:i/>
              </w:rPr>
            </w:pPr>
          </w:p>
          <w:p w:rsidR="00245D8E" w:rsidRPr="00A8771C" w:rsidRDefault="00AC3935" w:rsidP="005D4165">
            <w:pPr>
              <w:rPr>
                <w:rFonts w:ascii="Georgia" w:hAnsi="Georgia"/>
                <w:i/>
                <w:sz w:val="32"/>
                <w:szCs w:val="32"/>
              </w:rPr>
            </w:pPr>
            <w:r>
              <w:rPr>
                <w:rFonts w:ascii="Georgia" w:hAnsi="Georgia"/>
                <w:i/>
                <w:sz w:val="32"/>
                <w:szCs w:val="32"/>
              </w:rPr>
              <w:t>Presents: December 2017</w:t>
            </w:r>
          </w:p>
          <w:p w:rsidR="00245D8E" w:rsidRDefault="00421C58" w:rsidP="005D4165">
            <w:pPr>
              <w:rPr>
                <w:rFonts w:ascii="Georgia" w:hAnsi="Georgia"/>
                <w:i/>
                <w:sz w:val="4"/>
              </w:rPr>
            </w:pPr>
          </w:p>
        </w:tc>
      </w:tr>
      <w:tr w:rsidR="008C70F3" w:rsidTr="005D4165">
        <w:tc>
          <w:tcPr>
            <w:tcW w:w="9832" w:type="dxa"/>
            <w:gridSpan w:val="2"/>
            <w:shd w:val="clear" w:color="auto" w:fill="F3F3F3"/>
          </w:tcPr>
          <w:tbl>
            <w:tblPr>
              <w:tblW w:w="0" w:type="auto"/>
              <w:tblLayout w:type="fixed"/>
              <w:tblLook w:val="01E0" w:firstRow="1" w:lastRow="1" w:firstColumn="1" w:lastColumn="1" w:noHBand="0" w:noVBand="0"/>
            </w:tblPr>
            <w:tblGrid>
              <w:gridCol w:w="9542"/>
            </w:tblGrid>
            <w:tr w:rsidR="008C70F3" w:rsidTr="005D4165">
              <w:trPr>
                <w:trHeight w:val="834"/>
              </w:trPr>
              <w:tc>
                <w:tcPr>
                  <w:tcW w:w="9542" w:type="dxa"/>
                  <w:vAlign w:val="center"/>
                </w:tcPr>
                <w:p w:rsidR="00245D8E" w:rsidRDefault="00C4205F" w:rsidP="005D4165">
                  <w:pPr>
                    <w:rPr>
                      <w:rFonts w:ascii="Georgia" w:hAnsi="Georgia"/>
                      <w:sz w:val="64"/>
                    </w:rPr>
                  </w:pPr>
                  <w:r>
                    <w:rPr>
                      <w:rFonts w:ascii="Georgia" w:hAnsi="Georgia"/>
                      <w:sz w:val="64"/>
                    </w:rPr>
                    <w:t>M</w:t>
                  </w:r>
                  <w:r>
                    <w:rPr>
                      <w:rFonts w:ascii="Georgia" w:hAnsi="Georgia"/>
                      <w:sz w:val="52"/>
                    </w:rPr>
                    <w:t>ONTHLY</w:t>
                  </w:r>
                  <w:r>
                    <w:rPr>
                      <w:rFonts w:ascii="Georgia" w:hAnsi="Georgia"/>
                      <w:sz w:val="64"/>
                    </w:rPr>
                    <w:t xml:space="preserve"> E</w:t>
                  </w:r>
                  <w:r>
                    <w:rPr>
                      <w:rFonts w:ascii="Georgia" w:hAnsi="Georgia"/>
                      <w:sz w:val="52"/>
                    </w:rPr>
                    <w:t>CONOMIC</w:t>
                  </w:r>
                  <w:r>
                    <w:rPr>
                      <w:rFonts w:ascii="Georgia" w:hAnsi="Georgia"/>
                      <w:sz w:val="64"/>
                    </w:rPr>
                    <w:t xml:space="preserve"> U</w:t>
                  </w:r>
                  <w:r>
                    <w:rPr>
                      <w:rFonts w:ascii="Georgia" w:hAnsi="Georgia"/>
                      <w:sz w:val="52"/>
                    </w:rPr>
                    <w:t>PDATE</w:t>
                  </w:r>
                </w:p>
              </w:tc>
            </w:tr>
          </w:tbl>
          <w:p w:rsidR="00245D8E" w:rsidRDefault="00421C58" w:rsidP="005D4165">
            <w:pPr>
              <w:rPr>
                <w:rFonts w:ascii="Georgia" w:hAnsi="Georgia"/>
              </w:rPr>
            </w:pPr>
          </w:p>
        </w:tc>
      </w:tr>
      <w:tr w:rsidR="008C70F3" w:rsidTr="005D4165">
        <w:tc>
          <w:tcPr>
            <w:tcW w:w="2145" w:type="dxa"/>
            <w:tcBorders>
              <w:bottom w:val="single" w:sz="4" w:space="0" w:color="C0C0C0"/>
            </w:tcBorders>
            <w:shd w:val="clear" w:color="auto" w:fill="F3F3F3"/>
          </w:tcPr>
          <w:p w:rsidR="00245D8E" w:rsidRDefault="00421C58" w:rsidP="005D4165">
            <w:pPr>
              <w:rPr>
                <w:rFonts w:ascii="Georgia" w:hAnsi="Georgia"/>
                <w:color w:val="808080"/>
                <w:sz w:val="22"/>
              </w:rPr>
            </w:pPr>
          </w:p>
          <w:p w:rsidR="00245D8E" w:rsidRDefault="00C4205F" w:rsidP="005D4165">
            <w:pPr>
              <w:rPr>
                <w:rFonts w:ascii="Georgia" w:hAnsi="Georgia"/>
                <w:spacing w:val="-6"/>
                <w:sz w:val="4"/>
              </w:rPr>
            </w:pPr>
            <w:r>
              <w:rPr>
                <w:rFonts w:ascii="Georgia" w:hAnsi="Georgia"/>
                <w:color w:val="808080"/>
                <w:spacing w:val="-6"/>
                <w:sz w:val="22"/>
              </w:rPr>
              <w:t>MONTHLY QUOTE</w:t>
            </w:r>
          </w:p>
          <w:p w:rsidR="00245D8E" w:rsidRPr="001F0A03" w:rsidRDefault="00C4205F" w:rsidP="005D4165">
            <w:pPr>
              <w:rPr>
                <w:rFonts w:ascii="Georgia" w:hAnsi="Georgia"/>
                <w:sz w:val="2"/>
              </w:rPr>
            </w:pPr>
            <w:r>
              <w:rPr>
                <w:rFonts w:ascii="Georgia" w:hAnsi="Georgia"/>
                <w:sz w:val="2"/>
              </w:rPr>
              <w:t xml:space="preserve">  </w:t>
            </w:r>
          </w:p>
          <w:p w:rsidR="00245D8E" w:rsidRPr="00485BD0" w:rsidRDefault="00C4205F" w:rsidP="005D4165">
            <w:pPr>
              <w:rPr>
                <w:rFonts w:ascii="Georgia" w:hAnsi="Georgia"/>
                <w:sz w:val="4"/>
                <w:szCs w:val="4"/>
              </w:rPr>
            </w:pPr>
            <w:r w:rsidRPr="00485BD0">
              <w:rPr>
                <w:rFonts w:ascii="Georgia" w:hAnsi="Georgia"/>
                <w:sz w:val="20"/>
              </w:rPr>
              <w:t>“</w:t>
            </w:r>
            <w:r>
              <w:rPr>
                <w:rFonts w:ascii="Georgia" w:hAnsi="Georgia"/>
                <w:sz w:val="20"/>
              </w:rPr>
              <w:t>Education’</w:t>
            </w:r>
            <w:r w:rsidRPr="00B47E2C">
              <w:rPr>
                <w:rFonts w:ascii="Georgia" w:hAnsi="Georgia"/>
                <w:sz w:val="20"/>
              </w:rPr>
              <w:t>s purpose is to replace an empty mind with an open one</w:t>
            </w:r>
            <w:r w:rsidRPr="00485BD0">
              <w:rPr>
                <w:rFonts w:ascii="Georgia" w:hAnsi="Georgia"/>
                <w:sz w:val="20"/>
              </w:rPr>
              <w:t>.”</w:t>
            </w:r>
            <w:r w:rsidRPr="00485BD0">
              <w:rPr>
                <w:rFonts w:ascii="Georgia" w:hAnsi="Georgia"/>
                <w:sz w:val="20"/>
              </w:rPr>
              <w:br/>
            </w:r>
            <w:r w:rsidRPr="00485BD0">
              <w:rPr>
                <w:rFonts w:ascii="Georgia" w:hAnsi="Georgia"/>
                <w:sz w:val="4"/>
                <w:szCs w:val="4"/>
              </w:rPr>
              <w:t xml:space="preserve">     </w:t>
            </w:r>
          </w:p>
          <w:p w:rsidR="00245D8E" w:rsidRPr="00485BD0" w:rsidRDefault="00C4205F" w:rsidP="005D4165">
            <w:pPr>
              <w:rPr>
                <w:rFonts w:ascii="Georgia" w:hAnsi="Georgia"/>
                <w:sz w:val="20"/>
              </w:rPr>
            </w:pPr>
            <w:r w:rsidRPr="00485BD0">
              <w:rPr>
                <w:rFonts w:ascii="Georgia" w:hAnsi="Georgia"/>
                <w:i/>
                <w:sz w:val="20"/>
              </w:rPr>
              <w:t xml:space="preserve">- </w:t>
            </w:r>
            <w:r>
              <w:rPr>
                <w:rFonts w:ascii="Georgia" w:hAnsi="Georgia"/>
                <w:i/>
                <w:sz w:val="20"/>
              </w:rPr>
              <w:t>Malcolm</w:t>
            </w:r>
            <w:r w:rsidRPr="00485BD0">
              <w:rPr>
                <w:rFonts w:ascii="Georgia" w:hAnsi="Georgia"/>
                <w:i/>
                <w:sz w:val="20"/>
              </w:rPr>
              <w:t xml:space="preserve"> </w:t>
            </w:r>
            <w:r>
              <w:rPr>
                <w:rFonts w:ascii="Georgia" w:hAnsi="Georgia"/>
                <w:i/>
                <w:sz w:val="20"/>
              </w:rPr>
              <w:t>Forbes</w:t>
            </w:r>
          </w:p>
          <w:p w:rsidR="00245D8E" w:rsidRPr="004A52A4" w:rsidRDefault="00C4205F" w:rsidP="005D4165">
            <w:pPr>
              <w:rPr>
                <w:rFonts w:ascii="Georgia" w:hAnsi="Georgia"/>
                <w:i/>
                <w:sz w:val="18"/>
              </w:rPr>
            </w:pPr>
            <w:r w:rsidRPr="004A52A4">
              <w:rPr>
                <w:rFonts w:ascii="Georgia" w:hAnsi="Georgia"/>
                <w:i/>
                <w:sz w:val="18"/>
              </w:rPr>
              <w:t xml:space="preserve">  </w:t>
            </w:r>
          </w:p>
          <w:p w:rsidR="00245D8E" w:rsidRPr="00FD04E7" w:rsidRDefault="00C4205F" w:rsidP="005D4165">
            <w:pPr>
              <w:rPr>
                <w:rFonts w:ascii="Georgia" w:hAnsi="Georgia"/>
                <w:i/>
                <w:sz w:val="18"/>
              </w:rPr>
            </w:pPr>
            <w:r w:rsidRPr="004A52A4">
              <w:rPr>
                <w:rFonts w:ascii="Georgia" w:hAnsi="Georgia"/>
                <w:i/>
                <w:sz w:val="18"/>
              </w:rPr>
              <w:t xml:space="preserve">  </w:t>
            </w:r>
          </w:p>
          <w:p w:rsidR="00245D8E" w:rsidRDefault="00C4205F" w:rsidP="005D4165">
            <w:pPr>
              <w:rPr>
                <w:rFonts w:ascii="Georgia" w:hAnsi="Georgia"/>
                <w:color w:val="808080"/>
                <w:sz w:val="22"/>
              </w:rPr>
            </w:pPr>
            <w:r>
              <w:rPr>
                <w:rFonts w:ascii="Georgia" w:hAnsi="Georgia"/>
                <w:color w:val="808080"/>
                <w:sz w:val="22"/>
              </w:rPr>
              <w:t>MONTHLY TIP</w:t>
            </w:r>
          </w:p>
          <w:p w:rsidR="00245D8E" w:rsidRPr="00D67231" w:rsidRDefault="00C4205F" w:rsidP="005D4165">
            <w:pPr>
              <w:rPr>
                <w:rFonts w:ascii="Georgia" w:hAnsi="Georgia"/>
                <w:sz w:val="2"/>
              </w:rPr>
            </w:pPr>
            <w:r w:rsidRPr="00D67231">
              <w:rPr>
                <w:rFonts w:ascii="Georgia" w:hAnsi="Georgia"/>
                <w:sz w:val="2"/>
              </w:rPr>
              <w:t xml:space="preserve"> </w:t>
            </w:r>
          </w:p>
          <w:p w:rsidR="00245D8E" w:rsidRPr="00CE24F9" w:rsidRDefault="00C4205F" w:rsidP="005D4165">
            <w:pPr>
              <w:rPr>
                <w:rFonts w:ascii="Georgia" w:hAnsi="Georgia"/>
                <w:sz w:val="20"/>
                <w:szCs w:val="20"/>
              </w:rPr>
            </w:pPr>
            <w:r w:rsidRPr="00CE24F9">
              <w:rPr>
                <w:rFonts w:ascii="Georgia" w:hAnsi="Georgia"/>
                <w:sz w:val="20"/>
                <w:szCs w:val="20"/>
              </w:rPr>
              <w:t>Are you building an emergency fund? Consider investing a portion (or perhaps all) of those dollars in an interest-bearing deposit account or bank vehicle, to help them grow a little more.</w:t>
            </w:r>
          </w:p>
          <w:p w:rsidR="007B7680" w:rsidRPr="00F259EA" w:rsidRDefault="00421C58" w:rsidP="005D4165">
            <w:pPr>
              <w:rPr>
                <w:rFonts w:ascii="Georgia" w:hAnsi="Georgia"/>
                <w:i/>
                <w:color w:val="0070C0"/>
                <w:sz w:val="18"/>
              </w:rPr>
            </w:pPr>
          </w:p>
          <w:p w:rsidR="00245D8E" w:rsidRDefault="00C4205F" w:rsidP="005D4165">
            <w:pPr>
              <w:rPr>
                <w:rFonts w:ascii="Georgia" w:hAnsi="Georgia"/>
                <w:i/>
                <w:sz w:val="18"/>
              </w:rPr>
            </w:pPr>
            <w:r>
              <w:rPr>
                <w:rFonts w:ascii="Georgia" w:hAnsi="Georgia"/>
                <w:i/>
                <w:sz w:val="18"/>
              </w:rPr>
              <w:t xml:space="preserve">   </w:t>
            </w:r>
          </w:p>
          <w:p w:rsidR="00245D8E" w:rsidRDefault="00C4205F" w:rsidP="005D4165">
            <w:pPr>
              <w:rPr>
                <w:rFonts w:ascii="Georgia" w:hAnsi="Georgia"/>
                <w:color w:val="808080"/>
                <w:spacing w:val="-14"/>
                <w:sz w:val="22"/>
              </w:rPr>
            </w:pPr>
            <w:r>
              <w:rPr>
                <w:rFonts w:ascii="Georgia" w:hAnsi="Georgia"/>
                <w:color w:val="808080"/>
                <w:spacing w:val="-14"/>
                <w:sz w:val="22"/>
              </w:rPr>
              <w:t>MONTHLY RIDDLE</w:t>
            </w:r>
          </w:p>
          <w:p w:rsidR="00245D8E" w:rsidRPr="004E39D3" w:rsidRDefault="00C4205F" w:rsidP="005D4165">
            <w:pPr>
              <w:rPr>
                <w:rFonts w:ascii="Georgia" w:hAnsi="Georgia"/>
                <w:sz w:val="20"/>
                <w:szCs w:val="20"/>
              </w:rPr>
            </w:pPr>
            <w:r w:rsidRPr="004E39D3">
              <w:rPr>
                <w:rFonts w:ascii="Georgia" w:hAnsi="Georgia"/>
                <w:sz w:val="20"/>
                <w:szCs w:val="20"/>
              </w:rPr>
              <w:t>It will let you enter, but not come in. It lets you create space, but it will never offer you a room. It has keys, but they open no locks. What is it?</w:t>
            </w:r>
          </w:p>
          <w:p w:rsidR="00245D8E" w:rsidRPr="004E39D3" w:rsidRDefault="00C4205F" w:rsidP="005D4165">
            <w:pPr>
              <w:rPr>
                <w:rFonts w:ascii="Georgia" w:hAnsi="Georgia"/>
                <w:sz w:val="20"/>
                <w:szCs w:val="20"/>
              </w:rPr>
            </w:pPr>
            <w:r w:rsidRPr="004E39D3">
              <w:rPr>
                <w:rFonts w:ascii="Georgia" w:hAnsi="Georgia"/>
                <w:sz w:val="20"/>
                <w:szCs w:val="20"/>
              </w:rPr>
              <w:t xml:space="preserve">  </w:t>
            </w:r>
          </w:p>
          <w:p w:rsidR="00245D8E" w:rsidRPr="00A44D76" w:rsidRDefault="00C4205F" w:rsidP="005D4165">
            <w:pPr>
              <w:rPr>
                <w:rFonts w:ascii="Georgia" w:hAnsi="Georgia"/>
                <w:sz w:val="20"/>
                <w:szCs w:val="20"/>
              </w:rPr>
            </w:pPr>
            <w:r w:rsidRPr="00A44D76">
              <w:rPr>
                <w:rFonts w:ascii="Georgia" w:hAnsi="Georgia"/>
                <w:sz w:val="20"/>
                <w:szCs w:val="20"/>
              </w:rPr>
              <w:t xml:space="preserve">    </w:t>
            </w:r>
          </w:p>
          <w:p w:rsidR="00245D8E" w:rsidRPr="00A26F11" w:rsidRDefault="00C4205F" w:rsidP="005D4165">
            <w:pPr>
              <w:pStyle w:val="BodyText"/>
              <w:rPr>
                <w:color w:val="auto"/>
              </w:rPr>
            </w:pPr>
            <w:r>
              <w:rPr>
                <w:b/>
                <w:color w:val="999999"/>
                <w:sz w:val="18"/>
              </w:rPr>
              <w:t>Last month’s riddle:</w:t>
            </w:r>
            <w:r>
              <w:rPr>
                <w:color w:val="999999"/>
                <w:sz w:val="18"/>
              </w:rPr>
              <w:t xml:space="preserve"> </w:t>
            </w:r>
            <w:r>
              <w:rPr>
                <w:color w:val="999999"/>
                <w:sz w:val="18"/>
              </w:rPr>
              <w:br/>
            </w:r>
            <w:r w:rsidRPr="00466E60">
              <w:rPr>
                <w:color w:val="808080"/>
                <w:sz w:val="18"/>
                <w:szCs w:val="18"/>
              </w:rPr>
              <w:t xml:space="preserve">What is black when you buy it, red when you use it, </w:t>
            </w:r>
            <w:r>
              <w:rPr>
                <w:color w:val="808080"/>
                <w:sz w:val="18"/>
                <w:szCs w:val="18"/>
              </w:rPr>
              <w:t>and gray when you throw it away</w:t>
            </w:r>
            <w:r w:rsidRPr="00A54B69">
              <w:rPr>
                <w:color w:val="808080"/>
                <w:sz w:val="18"/>
                <w:szCs w:val="18"/>
              </w:rPr>
              <w:t>?</w:t>
            </w:r>
          </w:p>
          <w:p w:rsidR="00245D8E" w:rsidRDefault="00C4205F" w:rsidP="005D4165">
            <w:pPr>
              <w:rPr>
                <w:rFonts w:ascii="Georgia" w:hAnsi="Georgia"/>
                <w:color w:val="999999"/>
                <w:sz w:val="18"/>
              </w:rPr>
            </w:pPr>
            <w:r>
              <w:rPr>
                <w:rFonts w:ascii="Georgia" w:hAnsi="Georgia"/>
                <w:sz w:val="20"/>
              </w:rPr>
              <w:t xml:space="preserve"> </w:t>
            </w:r>
          </w:p>
          <w:p w:rsidR="00245D8E" w:rsidRDefault="00C4205F" w:rsidP="005D4165">
            <w:pPr>
              <w:rPr>
                <w:rFonts w:ascii="Georgia" w:hAnsi="Georgia"/>
                <w:color w:val="999999"/>
                <w:sz w:val="18"/>
              </w:rPr>
            </w:pPr>
            <w:r>
              <w:rPr>
                <w:rFonts w:ascii="Georgia" w:hAnsi="Georgia"/>
                <w:b/>
                <w:color w:val="999999"/>
                <w:spacing w:val="-2"/>
                <w:sz w:val="18"/>
              </w:rPr>
              <w:t>Last</w:t>
            </w:r>
            <w:r>
              <w:rPr>
                <w:rFonts w:ascii="Georgia" w:hAnsi="Georgia"/>
                <w:b/>
                <w:color w:val="999999"/>
                <w:spacing w:val="-2"/>
                <w:sz w:val="12"/>
              </w:rPr>
              <w:t> </w:t>
            </w:r>
            <w:r>
              <w:rPr>
                <w:rFonts w:ascii="Georgia" w:hAnsi="Georgia"/>
                <w:b/>
                <w:color w:val="999999"/>
                <w:spacing w:val="-2"/>
                <w:sz w:val="18"/>
              </w:rPr>
              <w:t>month’s</w:t>
            </w:r>
            <w:r>
              <w:rPr>
                <w:rFonts w:ascii="Georgia" w:hAnsi="Georgia"/>
                <w:b/>
                <w:color w:val="999999"/>
                <w:spacing w:val="-2"/>
                <w:sz w:val="12"/>
              </w:rPr>
              <w:t> </w:t>
            </w:r>
            <w:r>
              <w:rPr>
                <w:rFonts w:ascii="Georgia" w:hAnsi="Georgia"/>
                <w:b/>
                <w:color w:val="999999"/>
                <w:spacing w:val="-2"/>
                <w:sz w:val="18"/>
              </w:rPr>
              <w:t>answer:</w:t>
            </w:r>
          </w:p>
          <w:p w:rsidR="00245D8E" w:rsidRPr="002B613E" w:rsidRDefault="00C4205F" w:rsidP="005D4165">
            <w:pPr>
              <w:rPr>
                <w:rFonts w:ascii="Georgia" w:hAnsi="Georgia"/>
                <w:color w:val="808080"/>
                <w:sz w:val="18"/>
              </w:rPr>
            </w:pPr>
            <w:r>
              <w:rPr>
                <w:rFonts w:ascii="Georgia" w:hAnsi="Georgia"/>
                <w:color w:val="808080"/>
                <w:sz w:val="18"/>
              </w:rPr>
              <w:t>Charcoal.</w:t>
            </w:r>
          </w:p>
        </w:tc>
        <w:tc>
          <w:tcPr>
            <w:tcW w:w="7687" w:type="dxa"/>
            <w:tcBorders>
              <w:bottom w:val="single" w:sz="4" w:space="0" w:color="C0C0C0"/>
            </w:tcBorders>
            <w:shd w:val="clear" w:color="auto" w:fill="FFFFFF"/>
          </w:tcPr>
          <w:p w:rsidR="00245D8E" w:rsidRDefault="00421C58" w:rsidP="005D4165">
            <w:pPr>
              <w:jc w:val="right"/>
              <w:rPr>
                <w:rFonts w:ascii="Georgia" w:hAnsi="Georgia"/>
                <w:sz w:val="4"/>
              </w:rPr>
            </w:pPr>
          </w:p>
          <w:p w:rsidR="00245D8E" w:rsidRPr="002D6DEE" w:rsidRDefault="00C4205F" w:rsidP="005D4165">
            <w:pPr>
              <w:jc w:val="right"/>
              <w:rPr>
                <w:rFonts w:ascii="Georgia" w:hAnsi="Georgia"/>
                <w:b/>
              </w:rPr>
            </w:pPr>
            <w:r>
              <w:rPr>
                <w:rFonts w:ascii="Georgia" w:hAnsi="Georgia"/>
                <w:sz w:val="20"/>
              </w:rPr>
              <w:t>December</w:t>
            </w:r>
            <w:r w:rsidRPr="002D6DEE">
              <w:rPr>
                <w:rFonts w:ascii="Georgia" w:hAnsi="Georgia"/>
                <w:sz w:val="20"/>
              </w:rPr>
              <w:t xml:space="preserve"> 201</w:t>
            </w:r>
            <w:r>
              <w:rPr>
                <w:rFonts w:ascii="Georgia" w:hAnsi="Georgia"/>
                <w:sz w:val="20"/>
              </w:rPr>
              <w:t>7</w:t>
            </w:r>
          </w:p>
          <w:p w:rsidR="00B40A19" w:rsidRDefault="00C4205F" w:rsidP="00B40A19">
            <w:pPr>
              <w:rPr>
                <w:rFonts w:ascii="Georgia" w:hAnsi="Georgia"/>
                <w:sz w:val="20"/>
              </w:rPr>
            </w:pPr>
            <w:r w:rsidRPr="005F0BFF">
              <w:rPr>
                <w:rFonts w:ascii="Georgia" w:hAnsi="Georgia"/>
                <w:b/>
              </w:rPr>
              <w:t>THE MONTH IN BRIEF</w:t>
            </w:r>
            <w:r w:rsidRPr="005F0BFF">
              <w:rPr>
                <w:rFonts w:ascii="Georgia" w:hAnsi="Georgia"/>
                <w:b/>
              </w:rPr>
              <w:br/>
            </w:r>
            <w:r>
              <w:rPr>
                <w:rFonts w:ascii="Georgia" w:hAnsi="Georgia"/>
                <w:sz w:val="20"/>
              </w:rPr>
              <w:t>In November, the S&amp;P 500 gained 2.81% and advanced for a thirteenth straight month – an unprecedented milestone in the index’s long history. Consumer confidence and investor confidence were both abundant, as further evidence arrived that the economy was growing at an impressive rate. Solid fundamental indicators, upbeat earnings announcements, and hopes for 2018 tax cuts motivated stock gains in the U.S.; though many foreign benchmarks slumped. Oil took steps toward $60. Home sales picked up after a late-summer lull. Wall Street anticipated a year-end rate hike from the Federal Reserve.</w:t>
            </w:r>
            <w:r>
              <w:rPr>
                <w:rFonts w:ascii="Georgia" w:hAnsi="Georgia"/>
                <w:sz w:val="20"/>
                <w:vertAlign w:val="superscript"/>
              </w:rPr>
              <w:t>1,2</w:t>
            </w:r>
          </w:p>
          <w:p w:rsidR="00B40A19" w:rsidRDefault="00C4205F" w:rsidP="00B40A19">
            <w:pPr>
              <w:rPr>
                <w:rFonts w:ascii="Georgia" w:hAnsi="Georgia"/>
                <w:sz w:val="20"/>
              </w:rPr>
            </w:pPr>
            <w:r>
              <w:rPr>
                <w:rFonts w:ascii="Georgia" w:hAnsi="Georgia"/>
                <w:sz w:val="20"/>
              </w:rPr>
              <w:t xml:space="preserve">     </w:t>
            </w:r>
          </w:p>
          <w:p w:rsidR="00B40A19" w:rsidRDefault="00C4205F" w:rsidP="00B40A19">
            <w:pPr>
              <w:rPr>
                <w:rStyle w:val="st"/>
                <w:szCs w:val="20"/>
              </w:rPr>
            </w:pPr>
            <w:r>
              <w:rPr>
                <w:rFonts w:ascii="Georgia" w:hAnsi="Georgia"/>
                <w:b/>
              </w:rPr>
              <w:t xml:space="preserve">DOMESTIC ECONOMIC HEALTH </w:t>
            </w:r>
            <w:r>
              <w:rPr>
                <w:rFonts w:ascii="Georgia" w:hAnsi="Georgia"/>
                <w:b/>
              </w:rPr>
              <w:br/>
            </w:r>
            <w:r>
              <w:rPr>
                <w:rStyle w:val="st"/>
                <w:rFonts w:ascii="Georgia" w:hAnsi="Georgia"/>
                <w:sz w:val="20"/>
                <w:szCs w:val="20"/>
              </w:rPr>
              <w:t>Consumers were feeling very optimistic in November. The Conference Board’s much-watched consumer confidence index nearly hit 130; its 129.5 reading was 3.3 points higher than its October mark. As for the University of Michigan’s gauge of consumer sentiment, it hovered near a 13-year high, achieving a final November mark of 98.5. (Even so, that was beneath the 100.7 reading at the end of October.)</w:t>
            </w:r>
            <w:r>
              <w:rPr>
                <w:rStyle w:val="st"/>
                <w:rFonts w:ascii="Georgia" w:hAnsi="Georgia"/>
                <w:sz w:val="20"/>
                <w:szCs w:val="20"/>
                <w:vertAlign w:val="superscript"/>
              </w:rPr>
              <w:t>3,4</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The Department of Labor’s October jobs report satisfied Wall Street. Companies added 261,000 more jobs than they shed in the tenth month of the year. While annual wage growth fell sharply to 2.4%, the headline jobless rate declined to 4.1%, and the U-6 rate, including the underemployed, declined 0.4% to 7.9%. (The U-6 rate was 1.3% higher a year earlier.)</w:t>
            </w:r>
            <w:r>
              <w:rPr>
                <w:rStyle w:val="st"/>
                <w:rFonts w:ascii="Georgia" w:hAnsi="Georgia"/>
                <w:sz w:val="20"/>
                <w:szCs w:val="20"/>
                <w:vertAlign w:val="superscript"/>
              </w:rPr>
              <w:t>5</w:t>
            </w: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October also saw the manufacturing sector grow significantly. The Institute for Supply Management’s factory sector purchasing manager index dipped half a percent to a still-strong 58.2. That marked the fifteenth consecutive month of growth for manufacturing industries. Early in November, ISM’s service sector index rose 0.3 points to a lofty reading of 60.1, signaling rapid growth.</w:t>
            </w:r>
            <w:r>
              <w:rPr>
                <w:rStyle w:val="st"/>
                <w:rFonts w:ascii="Georgia" w:hAnsi="Georgia"/>
                <w:sz w:val="20"/>
                <w:szCs w:val="20"/>
                <w:vertAlign w:val="superscript"/>
              </w:rPr>
              <w:t>6,7</w:t>
            </w: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Complementing all this, the second estimate of third-quarter GDP from the Bureau of Economic Analysis improved 0.3% from the previous estimate to 3.3%, in an affirmation of an economy running on all cylinders. In addition, major gains in industrial output (0.9%) and manufacturing production (1.3%) were seen kicking off the fourth quarter in October.</w:t>
            </w:r>
            <w:r>
              <w:rPr>
                <w:rStyle w:val="st"/>
                <w:rFonts w:ascii="Georgia" w:hAnsi="Georgia"/>
                <w:sz w:val="20"/>
                <w:szCs w:val="20"/>
                <w:vertAlign w:val="superscript"/>
              </w:rPr>
              <w:t>3</w:t>
            </w: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Consumer inflation remained relatively mild. The Consumer Price Index was up merely 2.0% year-over-year through October, and the annualized advance in the core CPI was just 1.8%. Wholesale inflation was a different story: the headline Producer Price Index was 2.8% higher in October than it had been a year before; the core PPI, 2.4% higher.</w:t>
            </w:r>
            <w:r>
              <w:rPr>
                <w:rStyle w:val="st"/>
                <w:rFonts w:ascii="Georgia" w:hAnsi="Georgia"/>
                <w:sz w:val="20"/>
                <w:szCs w:val="20"/>
                <w:vertAlign w:val="superscript"/>
              </w:rPr>
              <w:t>3</w:t>
            </w: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 xml:space="preserve">Sizable gains in both personal spending and personal income were recorded for another month. Household incomes rose 0.4% again in October, and personal </w:t>
            </w:r>
            <w:r>
              <w:rPr>
                <w:rStyle w:val="st"/>
                <w:rFonts w:ascii="Georgia" w:hAnsi="Georgia"/>
                <w:sz w:val="20"/>
                <w:szCs w:val="20"/>
              </w:rPr>
              <w:lastRenderedPageBreak/>
              <w:t>spending, 0.3% after the remarkable 0.9% September gain driven by a wave of car and truck buying. Retail sales rose 0.2% during October and 0.3% with gas and auto sales factored out.</w:t>
            </w:r>
            <w:r>
              <w:rPr>
                <w:rStyle w:val="st"/>
                <w:rFonts w:ascii="Georgia" w:hAnsi="Georgia"/>
                <w:sz w:val="20"/>
                <w:szCs w:val="20"/>
                <w:vertAlign w:val="superscript"/>
              </w:rPr>
              <w:t>3</w:t>
            </w: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In late November, the Centers for Medicare and Medicaid Services explained that most seniors will pay higher Medicare monthly Part B premiums next year. While the standard Part B premium of $134 will not increase, the roughly 70% of seniors whose Part B premiums had hovered around $109 in 2017, thanks to the “hold harmless” provision, will see that protection go away as an effect of Social Security’s 2018 cost-of-living adjustment.</w:t>
            </w:r>
            <w:r>
              <w:rPr>
                <w:rStyle w:val="st"/>
                <w:rFonts w:ascii="Georgia" w:hAnsi="Georgia"/>
                <w:sz w:val="20"/>
                <w:szCs w:val="20"/>
                <w:vertAlign w:val="superscript"/>
              </w:rPr>
              <w:t>8</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color w:val="002060"/>
              </w:rPr>
            </w:pPr>
            <w:r>
              <w:rPr>
                <w:rFonts w:ascii="Georgia" w:hAnsi="Georgia"/>
                <w:b/>
              </w:rPr>
              <w:t>GLOBAL ECONOMIC HEALTH</w:t>
            </w:r>
            <w:r>
              <w:rPr>
                <w:rFonts w:ascii="Georgia" w:hAnsi="Georgia"/>
                <w:b/>
              </w:rPr>
              <w:br/>
            </w:r>
            <w:r>
              <w:rPr>
                <w:rFonts w:ascii="Georgia" w:hAnsi="Georgia"/>
                <w:sz w:val="20"/>
                <w:szCs w:val="20"/>
              </w:rPr>
              <w:t>According to the latest readings from Eurostat, unemployment ticked lower in the euro area, while inflation ticked a bit higher. The region’s jobless rate fell 0.1% in October to 8.8%, nearing a 9-year low and down a full percent from a year earlier. Consumer prices were up 1.5% year-over-year through November. Last month, the United Kingdom agreed to calculate a divorce settlement from the European Union as part of the Brexit. The divorce bill (which diplomats involved think will amount to around €60-65 billion) represents payment from the U.K. to the E.U. for unrealized future contributions to the E.U. 2019 and 2020 budgets as well as infrastructure projects the U.K. had been earmarked to partly or fully fund. The bill’s final amount will be determined sometime next year.</w:t>
            </w:r>
            <w:r>
              <w:rPr>
                <w:rFonts w:ascii="Georgia" w:hAnsi="Georgia"/>
                <w:sz w:val="20"/>
                <w:szCs w:val="20"/>
                <w:vertAlign w:val="superscript"/>
              </w:rPr>
              <w:t>9,10</w:t>
            </w:r>
          </w:p>
          <w:p w:rsidR="00B40A19" w:rsidRDefault="00C4205F" w:rsidP="00B40A19">
            <w:pPr>
              <w:rPr>
                <w:rFonts w:ascii="Georgia" w:hAnsi="Georgia"/>
                <w:sz w:val="20"/>
                <w:szCs w:val="20"/>
              </w:rPr>
            </w:pPr>
            <w:r>
              <w:rPr>
                <w:rFonts w:ascii="Georgia" w:hAnsi="Georgia"/>
                <w:color w:val="002060"/>
                <w:sz w:val="20"/>
                <w:szCs w:val="20"/>
              </w:rPr>
              <w:t xml:space="preserve">       </w:t>
            </w:r>
          </w:p>
          <w:p w:rsidR="00B40A19" w:rsidRDefault="00C4205F" w:rsidP="00B40A19">
            <w:pPr>
              <w:rPr>
                <w:rFonts w:ascii="Georgia" w:hAnsi="Georgia"/>
                <w:color w:val="002060"/>
                <w:sz w:val="20"/>
                <w:szCs w:val="20"/>
              </w:rPr>
            </w:pPr>
            <w:r>
              <w:rPr>
                <w:rFonts w:ascii="Georgia" w:hAnsi="Georgia"/>
                <w:sz w:val="20"/>
                <w:szCs w:val="20"/>
              </w:rPr>
              <w:t>In Seoul, the Bank of Korea became the first central bank in Asia to raise interest rates since 2014; as Reuters notes, the Philippines and Malaysia may see rate hikes in 2018. The Caixin/Markit manufacturing PMI for China fell to 50.8 in its latest reading, its lowest mark in five months. Japanese manufacturing reached a 3½-year peak last month. Factory activity in Taiwan accelerated to a pace unseen since 2011; South Korean manufacturing activity, to a pace not witnessed since 2012. The number of job openings in Japan hit its highest level since the mid-1960s last month, and the nation’s jobless rate descended to 2.8%.</w:t>
            </w:r>
            <w:r>
              <w:rPr>
                <w:rFonts w:ascii="Georgia" w:hAnsi="Georgia"/>
                <w:sz w:val="20"/>
                <w:szCs w:val="20"/>
                <w:vertAlign w:val="superscript"/>
              </w:rPr>
              <w:t>11</w:t>
            </w:r>
          </w:p>
          <w:p w:rsidR="00B40A19" w:rsidRDefault="00C4205F" w:rsidP="00B40A19">
            <w:pPr>
              <w:rPr>
                <w:rFonts w:ascii="Georgia" w:hAnsi="Georgia"/>
                <w:color w:val="002060"/>
                <w:sz w:val="20"/>
                <w:szCs w:val="20"/>
              </w:rPr>
            </w:pPr>
            <w:r>
              <w:rPr>
                <w:rFonts w:ascii="Georgia" w:hAnsi="Georgia"/>
                <w:color w:val="002060"/>
                <w:sz w:val="20"/>
                <w:szCs w:val="20"/>
              </w:rPr>
              <w:t xml:space="preserve">   </w:t>
            </w:r>
          </w:p>
          <w:p w:rsidR="00B40A19" w:rsidRDefault="00C4205F" w:rsidP="00B40A19">
            <w:pPr>
              <w:pStyle w:val="PlainText"/>
              <w:rPr>
                <w:rFonts w:ascii="Georgia" w:hAnsi="Georgia" w:cs="Courier New"/>
                <w:sz w:val="20"/>
                <w:szCs w:val="20"/>
              </w:rPr>
            </w:pPr>
            <w:r>
              <w:rPr>
                <w:rFonts w:ascii="Georgia" w:hAnsi="Georgia"/>
                <w:b/>
                <w:sz w:val="24"/>
                <w:szCs w:val="24"/>
              </w:rPr>
              <w:t>WORLD MARKETS</w:t>
            </w:r>
            <w:r>
              <w:rPr>
                <w:rFonts w:ascii="Georgia" w:hAnsi="Georgia"/>
                <w:b/>
                <w:sz w:val="20"/>
                <w:szCs w:val="20"/>
              </w:rPr>
              <w:br/>
            </w:r>
            <w:r>
              <w:rPr>
                <w:rFonts w:ascii="Georgia" w:hAnsi="Georgia" w:cs="Courier New"/>
                <w:sz w:val="20"/>
                <w:szCs w:val="20"/>
              </w:rPr>
              <w:t>Seven significant stock benchmarks fell 2% or more in November. Taiwan’s TSE 50 dropped 4.04%; Brazil’s Bovespa, 3.78%; Mexico’s Bolsa, 3.61%. The four other such retreats were staged by Spain’s IBEX 35, down 2.25%; France’s CAC 40, down 2.20%; China’s Shanghai Composite, sinking 2.16%; the United Kingdom’s FTSE 100, losing 2.15%. Falling a bit less: the FTSE Eurofirst 300, off 1.94%; Germany’s DAX, down 1.55%; India’s Nifty 50, slipping 1.32%.</w:t>
            </w:r>
            <w:r>
              <w:rPr>
                <w:rFonts w:ascii="Georgia" w:hAnsi="Georgia" w:cs="Courier New"/>
                <w:sz w:val="20"/>
                <w:szCs w:val="20"/>
                <w:vertAlign w:val="superscript"/>
              </w:rPr>
              <w:t>12</w:t>
            </w:r>
          </w:p>
          <w:p w:rsidR="00B40A19" w:rsidRDefault="00C4205F" w:rsidP="00B40A19">
            <w:pPr>
              <w:pStyle w:val="PlainText"/>
              <w:rPr>
                <w:rFonts w:ascii="Georgia" w:hAnsi="Georgia" w:cs="Courier New"/>
                <w:sz w:val="20"/>
                <w:szCs w:val="20"/>
              </w:rPr>
            </w:pPr>
            <w:r>
              <w:rPr>
                <w:rFonts w:ascii="Georgia" w:hAnsi="Georgia" w:cs="Courier New"/>
                <w:sz w:val="20"/>
                <w:szCs w:val="20"/>
              </w:rPr>
              <w:t xml:space="preserve"> </w:t>
            </w:r>
          </w:p>
          <w:p w:rsidR="00B40A19" w:rsidRDefault="00C4205F" w:rsidP="00B40A19">
            <w:pPr>
              <w:pStyle w:val="PlainText"/>
              <w:rPr>
                <w:rFonts w:ascii="Georgia" w:hAnsi="Georgia" w:cs="Courier New"/>
                <w:sz w:val="20"/>
                <w:szCs w:val="20"/>
              </w:rPr>
            </w:pPr>
            <w:r>
              <w:rPr>
                <w:rFonts w:ascii="Georgia" w:hAnsi="Georgia" w:cs="Courier New"/>
                <w:sz w:val="20"/>
                <w:szCs w:val="20"/>
              </w:rPr>
              <w:t>Pronounced advances also occurred, with two prominent Asian indices leading the way. In Tokyo, the Nikkei 225 added 3.24%; Hong Kong’s Hang Seng improved 2.97% for the month. The MSCI World recorded a 1.99% advance (as a footnote, the MSCI Emerging Markets improved just 0.15%). Notable gains also came for Russia’s Micex and Singapore’s STI (both up 1.71%) and Australia’s All Ordinaries (up 1.20%).</w:t>
            </w:r>
            <w:r>
              <w:rPr>
                <w:rFonts w:ascii="Georgia" w:hAnsi="Georgia" w:cs="Courier New"/>
                <w:sz w:val="20"/>
                <w:szCs w:val="20"/>
                <w:vertAlign w:val="superscript"/>
              </w:rPr>
              <w:t>12,13</w:t>
            </w:r>
          </w:p>
          <w:p w:rsidR="00B40A19" w:rsidRDefault="00C4205F" w:rsidP="00B40A19">
            <w:pPr>
              <w:pStyle w:val="PlainText"/>
              <w:rPr>
                <w:rFonts w:ascii="Georgia" w:hAnsi="Georgia" w:cs="Courier New"/>
                <w:sz w:val="20"/>
                <w:szCs w:val="20"/>
              </w:rPr>
            </w:pPr>
            <w:r>
              <w:rPr>
                <w:rFonts w:ascii="Georgia" w:hAnsi="Georgia" w:cs="Courier New"/>
                <w:sz w:val="20"/>
                <w:szCs w:val="20"/>
              </w:rPr>
              <w:t xml:space="preserve">               </w:t>
            </w:r>
            <w:r>
              <w:rPr>
                <w:rFonts w:ascii="Georgia" w:hAnsi="Georgia" w:cs="Courier New"/>
              </w:rPr>
              <w:t xml:space="preserve">   </w:t>
            </w:r>
          </w:p>
          <w:p w:rsidR="00B40A19" w:rsidRDefault="00C4205F" w:rsidP="00B40A19">
            <w:pPr>
              <w:pStyle w:val="PlainText"/>
              <w:rPr>
                <w:rFonts w:ascii="Georgia" w:hAnsi="Georgia"/>
                <w:b/>
                <w:sz w:val="24"/>
                <w:szCs w:val="24"/>
              </w:rPr>
            </w:pPr>
            <w:r>
              <w:rPr>
                <w:rFonts w:ascii="Georgia" w:hAnsi="Georgia"/>
                <w:b/>
                <w:sz w:val="24"/>
                <w:szCs w:val="24"/>
              </w:rPr>
              <w:t>COMMODITIES MARKETS</w:t>
            </w:r>
          </w:p>
          <w:p w:rsidR="00B40A19" w:rsidRDefault="00C4205F" w:rsidP="00B40A19">
            <w:pPr>
              <w:pStyle w:val="PlainText"/>
              <w:rPr>
                <w:rFonts w:ascii="Georgia" w:hAnsi="Georgia" w:cs="Courier New"/>
                <w:sz w:val="20"/>
                <w:szCs w:val="20"/>
              </w:rPr>
            </w:pPr>
            <w:r>
              <w:rPr>
                <w:rFonts w:ascii="Georgia" w:hAnsi="Georgia" w:cs="Courier New"/>
                <w:sz w:val="20"/>
                <w:szCs w:val="20"/>
              </w:rPr>
              <w:t>Aided by a short-term shutdown of the Keystone pipeline, the price of crude oil rose 4.96% in November on the NYMEX. WTI crude finished November at $57.35 a barrel. There was also a big win for natural gas, as that commodity gained 4.58% last month. Unleaded gasoline futures retreated 2.35%, while heating oil futures rose 1.04%.</w:t>
            </w:r>
            <w:r>
              <w:rPr>
                <w:rFonts w:ascii="Georgia" w:hAnsi="Georgia" w:cs="Courier New"/>
                <w:sz w:val="20"/>
                <w:szCs w:val="20"/>
                <w:vertAlign w:val="superscript"/>
              </w:rPr>
              <w:t>14</w:t>
            </w:r>
            <w:r>
              <w:rPr>
                <w:rFonts w:ascii="Georgia" w:hAnsi="Georgia" w:cs="Courier New"/>
                <w:sz w:val="20"/>
                <w:szCs w:val="20"/>
              </w:rPr>
              <w:t xml:space="preserve"> </w:t>
            </w:r>
          </w:p>
          <w:p w:rsidR="00B40A19" w:rsidRDefault="00C4205F" w:rsidP="00B40A19">
            <w:pPr>
              <w:pStyle w:val="PlainText"/>
              <w:rPr>
                <w:rFonts w:ascii="Georgia" w:hAnsi="Georgia" w:cs="Courier New"/>
                <w:sz w:val="20"/>
                <w:szCs w:val="20"/>
              </w:rPr>
            </w:pPr>
            <w:r>
              <w:rPr>
                <w:rFonts w:ascii="Georgia" w:hAnsi="Georgia" w:cs="Courier New"/>
                <w:sz w:val="20"/>
                <w:szCs w:val="20"/>
              </w:rPr>
              <w:t xml:space="preserve">  </w:t>
            </w:r>
          </w:p>
          <w:p w:rsidR="00B40A19" w:rsidRDefault="00C4205F" w:rsidP="00B40A19">
            <w:pPr>
              <w:pStyle w:val="PlainText"/>
              <w:rPr>
                <w:rFonts w:ascii="Georgia" w:hAnsi="Georgia" w:cs="Courier New"/>
                <w:sz w:val="20"/>
                <w:szCs w:val="20"/>
              </w:rPr>
            </w:pPr>
            <w:r>
              <w:rPr>
                <w:rFonts w:ascii="Georgia" w:hAnsi="Georgia" w:cs="Courier New"/>
                <w:sz w:val="20"/>
                <w:szCs w:val="20"/>
              </w:rPr>
              <w:t>Platinum outdid other major metals last month, gaining 3.22%. Gold advanced 0.53% to end November at $1,274.90 on the COMEX. Silver fell 1.74%, to a November 30 close of $16.36; copper lost 1.80%. The U.S. Dollar Index finished November at 93.02, falling 1.62% across the month. As for ag futures, cotton jumped 7.39%. Sugar was up 2.24%; soybeans, 1.18%; coffee, 1.00%. Corn fell 1.09%; cocoa, 2.10%; wheat, 2.44%.</w:t>
            </w:r>
            <w:r>
              <w:rPr>
                <w:rFonts w:ascii="Georgia" w:hAnsi="Georgia" w:cs="Courier New"/>
                <w:sz w:val="20"/>
                <w:szCs w:val="20"/>
                <w:vertAlign w:val="superscript"/>
              </w:rPr>
              <w:t>14,15</w:t>
            </w:r>
          </w:p>
          <w:p w:rsidR="00B40A19" w:rsidRDefault="00C4205F" w:rsidP="00B40A19">
            <w:pPr>
              <w:pStyle w:val="PlainText"/>
              <w:rPr>
                <w:rFonts w:ascii="Courier New" w:hAnsi="Courier New" w:cs="Courier New"/>
              </w:rPr>
            </w:pPr>
            <w:r>
              <w:rPr>
                <w:rFonts w:ascii="Courier New" w:hAnsi="Courier New" w:cs="Courier New"/>
              </w:rPr>
              <w:t xml:space="preserve"> </w:t>
            </w:r>
            <w:r>
              <w:rPr>
                <w:rFonts w:ascii="Georgia" w:hAnsi="Georgia" w:cs="Courier New"/>
                <w:sz w:val="20"/>
                <w:szCs w:val="20"/>
              </w:rPr>
              <w:t xml:space="preserve">          </w:t>
            </w:r>
          </w:p>
          <w:p w:rsidR="00B40A19" w:rsidRDefault="00C4205F" w:rsidP="00B40A19">
            <w:pPr>
              <w:rPr>
                <w:rStyle w:val="st"/>
                <w:rFonts w:ascii="Georgia" w:hAnsi="Georgia"/>
                <w:sz w:val="20"/>
                <w:szCs w:val="20"/>
              </w:rPr>
            </w:pPr>
            <w:r>
              <w:rPr>
                <w:rFonts w:ascii="Georgia" w:hAnsi="Georgia"/>
                <w:b/>
              </w:rPr>
              <w:lastRenderedPageBreak/>
              <w:t>REAL ESTATE</w:t>
            </w:r>
            <w:r>
              <w:rPr>
                <w:rFonts w:ascii="Georgia" w:hAnsi="Georgia"/>
                <w:b/>
              </w:rPr>
              <w:br/>
            </w:r>
            <w:r>
              <w:rPr>
                <w:rStyle w:val="st"/>
                <w:rFonts w:ascii="Georgia" w:hAnsi="Georgia"/>
                <w:sz w:val="20"/>
                <w:szCs w:val="20"/>
              </w:rPr>
              <w:t>October data pointed to a rebound in residential real estate. The National Association of Realtors said that existing home sales improved by 2.0% in the tenth month of the year; the gain for single-family homes was 2.1%. (Year-over-year, sales were still down 0.9%.) NAR’s pending home sales index rose 3.5% after a 0.4% setback in September. As for new home sales, they increased 6.2% for October, according to the Census Bureau, marking the second month with a strong gain. The S&amp;P/Case-Shiller 20-city home price index was up 6.2% in the 12 months ending in October, compared to a 5.8% annualized advance through September.</w:t>
            </w:r>
            <w:r>
              <w:rPr>
                <w:rStyle w:val="st"/>
                <w:rFonts w:ascii="Georgia" w:hAnsi="Georgia"/>
                <w:sz w:val="20"/>
                <w:szCs w:val="20"/>
                <w:vertAlign w:val="superscript"/>
              </w:rPr>
              <w:t>3,16</w:t>
            </w:r>
          </w:p>
          <w:p w:rsidR="00B40A19" w:rsidRDefault="00C4205F" w:rsidP="00B40A19">
            <w:pPr>
              <w:rPr>
                <w:rStyle w:val="st"/>
                <w:rFonts w:ascii="Georgia" w:hAnsi="Georgia"/>
                <w:sz w:val="20"/>
                <w:szCs w:val="20"/>
              </w:rPr>
            </w:pPr>
            <w:r>
              <w:rPr>
                <w:rStyle w:val="st"/>
                <w:rFonts w:ascii="Georgia" w:hAnsi="Georgia"/>
                <w:sz w:val="20"/>
                <w:szCs w:val="20"/>
              </w:rPr>
              <w:t xml:space="preserve">   </w:t>
            </w:r>
          </w:p>
          <w:p w:rsidR="00B40A19" w:rsidRDefault="00C4205F" w:rsidP="00B40A19">
            <w:pPr>
              <w:rPr>
                <w:rStyle w:val="st"/>
                <w:rFonts w:ascii="Georgia" w:hAnsi="Georgia"/>
                <w:sz w:val="20"/>
                <w:szCs w:val="20"/>
              </w:rPr>
            </w:pPr>
            <w:r>
              <w:rPr>
                <w:rStyle w:val="st"/>
                <w:rFonts w:ascii="Georgia" w:hAnsi="Georgia"/>
                <w:sz w:val="20"/>
                <w:szCs w:val="20"/>
              </w:rPr>
              <w:t>Builders were busy as well. October witnessed a 13.7% leap in groundbreaking and a 5.9% increase in the issuance of building permits. Both Census Bureau indicators were negative in September.</w:t>
            </w:r>
            <w:r>
              <w:rPr>
                <w:rStyle w:val="st"/>
                <w:rFonts w:ascii="Georgia" w:hAnsi="Georgia"/>
                <w:sz w:val="20"/>
                <w:szCs w:val="20"/>
                <w:vertAlign w:val="superscript"/>
              </w:rPr>
              <w:t>3</w:t>
            </w:r>
          </w:p>
          <w:p w:rsidR="00B40A19" w:rsidRDefault="00C4205F" w:rsidP="00B40A19">
            <w:pPr>
              <w:rPr>
                <w:rStyle w:val="st"/>
                <w:rFonts w:ascii="Georgia" w:hAnsi="Georgia"/>
                <w:sz w:val="20"/>
                <w:szCs w:val="20"/>
              </w:rPr>
            </w:pPr>
            <w:r>
              <w:rPr>
                <w:rStyle w:val="st"/>
                <w:rFonts w:ascii="Georgia" w:hAnsi="Georgia"/>
                <w:color w:val="002060"/>
                <w:sz w:val="20"/>
                <w:szCs w:val="20"/>
              </w:rPr>
              <w:t xml:space="preserve">  </w:t>
            </w:r>
          </w:p>
          <w:p w:rsidR="00B40A19" w:rsidRDefault="00C4205F" w:rsidP="00B40A19">
            <w:pPr>
              <w:rPr>
                <w:rStyle w:val="st"/>
                <w:rFonts w:ascii="Georgia" w:hAnsi="Georgia"/>
                <w:color w:val="002060"/>
                <w:sz w:val="20"/>
                <w:szCs w:val="20"/>
              </w:rPr>
            </w:pPr>
            <w:r>
              <w:rPr>
                <w:rStyle w:val="st"/>
                <w:rFonts w:ascii="Georgia" w:hAnsi="Georgia"/>
                <w:sz w:val="20"/>
                <w:szCs w:val="20"/>
              </w:rPr>
              <w:t>On November 30, the interest rate for a conventional home loan was at 3.90%, according to Freddie Mac. That compares to a mean of 3.94% in its November 2 Primary Mortgage Market Survey. Average rates on other types of mortgages rose during that period – the mean rate on the 15-year fixed went 0.03% north to 3.30%, while the average rate on the 5/1-year adjustable rose 0.09% to 3.32%.</w:t>
            </w:r>
            <w:r>
              <w:rPr>
                <w:rStyle w:val="st"/>
                <w:rFonts w:ascii="Georgia" w:hAnsi="Georgia"/>
                <w:sz w:val="20"/>
                <w:szCs w:val="20"/>
                <w:vertAlign w:val="superscript"/>
              </w:rPr>
              <w:t>17</w:t>
            </w:r>
          </w:p>
          <w:p w:rsidR="00B40A19" w:rsidRDefault="00C4205F" w:rsidP="00B40A19">
            <w:r>
              <w:rPr>
                <w:rStyle w:val="st"/>
                <w:rFonts w:ascii="Georgia" w:hAnsi="Georgia"/>
                <w:color w:val="002060"/>
                <w:sz w:val="20"/>
                <w:szCs w:val="20"/>
              </w:rPr>
              <w:t xml:space="preserve">   </w:t>
            </w:r>
            <w:r>
              <w:rPr>
                <w:rStyle w:val="st"/>
                <w:rFonts w:ascii="Georgia" w:hAnsi="Georgia"/>
                <w:sz w:val="20"/>
                <w:szCs w:val="20"/>
              </w:rPr>
              <w:t xml:space="preserve"> </w:t>
            </w:r>
            <w:r>
              <w:rPr>
                <w:rFonts w:ascii="Georgia" w:hAnsi="Georgia"/>
                <w:sz w:val="20"/>
              </w:rPr>
              <w:t xml:space="preserve">    </w:t>
            </w:r>
          </w:p>
          <w:p w:rsidR="00B40A19" w:rsidRDefault="00C4205F" w:rsidP="00B40A19">
            <w:pPr>
              <w:pStyle w:val="PlainText"/>
              <w:rPr>
                <w:rFonts w:ascii="Georgia" w:hAnsi="Georgia" w:cs="Courier New"/>
                <w:sz w:val="20"/>
                <w:szCs w:val="20"/>
              </w:rPr>
            </w:pPr>
            <w:r>
              <w:rPr>
                <w:rFonts w:ascii="Georgia" w:hAnsi="Georgia"/>
                <w:b/>
                <w:sz w:val="24"/>
                <w:szCs w:val="24"/>
              </w:rPr>
              <w:t>LOOKING BACK…LOOKING FORWARD</w:t>
            </w:r>
            <w:r>
              <w:rPr>
                <w:rFonts w:ascii="Georgia" w:hAnsi="Georgia"/>
                <w:b/>
              </w:rPr>
              <w:t xml:space="preserve"> </w:t>
            </w:r>
            <w:r>
              <w:rPr>
                <w:rFonts w:ascii="Georgia" w:hAnsi="Georgia"/>
                <w:b/>
              </w:rPr>
              <w:br/>
            </w:r>
            <w:r>
              <w:rPr>
                <w:rFonts w:ascii="Georgia" w:hAnsi="Georgia"/>
                <w:sz w:val="20"/>
                <w:szCs w:val="20"/>
              </w:rPr>
              <w:t>Volatility was more noticeable in November, as Wall Street interpreted assorted signals on tax reform coming from Congress</w:t>
            </w:r>
            <w:r>
              <w:rPr>
                <w:rFonts w:ascii="Georgia" w:hAnsi="Georgia" w:cs="Courier New"/>
                <w:sz w:val="20"/>
                <w:szCs w:val="20"/>
              </w:rPr>
              <w:t>. The CBOE VIX gained 10.81% last month, closing November at 11.28.</w:t>
            </w:r>
            <w:r>
              <w:rPr>
                <w:rFonts w:ascii="Georgia" w:hAnsi="Georgia" w:cs="Courier New"/>
                <w:sz w:val="20"/>
                <w:szCs w:val="20"/>
                <w:vertAlign w:val="superscript"/>
              </w:rPr>
              <w:t>18</w:t>
            </w:r>
          </w:p>
          <w:p w:rsidR="00B40A19" w:rsidRDefault="00C4205F" w:rsidP="00B40A19">
            <w:pPr>
              <w:pStyle w:val="PlainText"/>
              <w:rPr>
                <w:rFonts w:ascii="Georgia" w:hAnsi="Georgia" w:cs="Courier New"/>
                <w:sz w:val="20"/>
                <w:szCs w:val="20"/>
              </w:rPr>
            </w:pPr>
            <w:r>
              <w:rPr>
                <w:rFonts w:ascii="Georgia" w:hAnsi="Georgia" w:cs="Courier New"/>
                <w:sz w:val="20"/>
                <w:szCs w:val="20"/>
              </w:rPr>
              <w:t xml:space="preserve">  </w:t>
            </w:r>
          </w:p>
          <w:p w:rsidR="00B40A19" w:rsidRDefault="00C4205F" w:rsidP="00B40A19">
            <w:pPr>
              <w:pStyle w:val="PlainText"/>
              <w:rPr>
                <w:rFonts w:ascii="Georgia" w:hAnsi="Georgia" w:cs="Courier New"/>
                <w:color w:val="002060"/>
                <w:sz w:val="20"/>
                <w:szCs w:val="20"/>
              </w:rPr>
            </w:pPr>
            <w:r>
              <w:rPr>
                <w:rFonts w:ascii="Georgia" w:hAnsi="Georgia" w:cs="Courier New"/>
                <w:sz w:val="20"/>
                <w:szCs w:val="20"/>
              </w:rPr>
              <w:t>Rising above 24,000, the Dow Jones Industrial Average added 3.77% in November; on November 30, it closed at 24,272.35. The Russell 2000, S&amp;P 500, and Nasdaq Composite posted respective November gains of 2.79%, 2.81%, and 2.14%; they respectively ended the month at settlements of 1,544.14, 2,647.58, and 6,873.97.</w:t>
            </w:r>
            <w:r>
              <w:rPr>
                <w:rFonts w:ascii="Georgia" w:hAnsi="Georgia"/>
                <w:sz w:val="20"/>
                <w:szCs w:val="20"/>
                <w:vertAlign w:val="superscript"/>
              </w:rPr>
              <w:t>19,20</w:t>
            </w:r>
            <w:r>
              <w:rPr>
                <w:rFonts w:ascii="Georgia" w:hAnsi="Georgia"/>
                <w:color w:val="002060"/>
                <w:sz w:val="20"/>
                <w:szCs w:val="20"/>
              </w:rPr>
              <w:t xml:space="preserve">     </w:t>
            </w:r>
          </w:p>
          <w:p w:rsidR="00B40A19" w:rsidRDefault="00C4205F" w:rsidP="00B40A19">
            <w:pPr>
              <w:pStyle w:val="PlainText"/>
              <w:rPr>
                <w:rFonts w:ascii="Georgia" w:hAnsi="Georgia"/>
                <w:color w:val="1F3864"/>
                <w:sz w:val="20"/>
                <w:szCs w:val="20"/>
              </w:rPr>
            </w:pPr>
            <w:r>
              <w:rPr>
                <w:rFonts w:ascii="Georgia" w:hAnsi="Georgia"/>
                <w:color w:val="1F3864"/>
                <w:sz w:val="20"/>
                <w:szCs w:val="20"/>
              </w:rPr>
              <w:t xml:space="preserve"> </w:t>
            </w:r>
            <w:r>
              <w:rPr>
                <w:rFonts w:ascii="Georgia" w:hAnsi="Georgia"/>
                <w:color w:val="1F3864"/>
              </w:rPr>
              <w:t xml:space="preserve">      </w:t>
            </w:r>
          </w:p>
          <w:tbl>
            <w:tblPr>
              <w:tblW w:w="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368"/>
              <w:gridCol w:w="1368"/>
              <w:gridCol w:w="1368"/>
              <w:gridCol w:w="1368"/>
              <w:gridCol w:w="1368"/>
            </w:tblGrid>
            <w:tr w:rsidR="008C70F3"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rPr>
                  </w:pPr>
                  <w:r>
                    <w:rPr>
                      <w:rFonts w:ascii="Verdana" w:hAnsi="Verdana"/>
                      <w:sz w:val="18"/>
                    </w:rPr>
                    <w:t>% CHANGE</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rPr>
                  </w:pPr>
                  <w:r>
                    <w:rPr>
                      <w:rFonts w:ascii="Verdana" w:hAnsi="Verdana"/>
                      <w:sz w:val="18"/>
                    </w:rPr>
                    <w:t>Y-T-D</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rPr>
                  </w:pPr>
                  <w:r>
                    <w:rPr>
                      <w:rFonts w:ascii="Verdana" w:hAnsi="Verdana"/>
                      <w:sz w:val="18"/>
                    </w:rPr>
                    <w:t>1-YR CHG</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rPr>
                  </w:pPr>
                  <w:r>
                    <w:rPr>
                      <w:rFonts w:ascii="Verdana" w:hAnsi="Verdana"/>
                      <w:sz w:val="18"/>
                    </w:rPr>
                    <w:t>5-YR AVG</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rPr>
                  </w:pPr>
                  <w:r>
                    <w:rPr>
                      <w:rFonts w:ascii="Verdana" w:hAnsi="Verdana"/>
                      <w:sz w:val="18"/>
                    </w:rPr>
                    <w:t>10-YR AVG</w:t>
                  </w:r>
                </w:p>
              </w:tc>
            </w:tr>
            <w:tr w:rsidR="008C70F3"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sz w:val="20"/>
                    </w:rPr>
                  </w:pPr>
                  <w:r>
                    <w:rPr>
                      <w:rFonts w:ascii="Verdana" w:hAnsi="Verdana"/>
                      <w:color w:val="808080"/>
                      <w:sz w:val="20"/>
                    </w:rPr>
                    <w:t>DJIA</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+22.82</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+26.92</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+17.27</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+8.15</w:t>
                  </w:r>
                </w:p>
              </w:tc>
            </w:tr>
            <w:tr w:rsidR="008C70F3" w:rsidTr="00B40A19">
              <w:trPr>
                <w:trHeight w:val="323"/>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sz w:val="20"/>
                    </w:rPr>
                  </w:pPr>
                  <w:r>
                    <w:rPr>
                      <w:rFonts w:ascii="Verdana" w:hAnsi="Verdana"/>
                      <w:color w:val="808080"/>
                      <w:sz w:val="20"/>
                    </w:rPr>
                    <w:t>NASDAQ</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+27.69</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+29.12</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+25.67</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+15.83</w:t>
                  </w:r>
                </w:p>
              </w:tc>
            </w:tr>
            <w:tr w:rsidR="008C70F3"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rPr>
                  </w:pPr>
                  <w:r>
                    <w:rPr>
                      <w:rFonts w:ascii="Verdana" w:hAnsi="Verdana"/>
                      <w:color w:val="808080" w:themeColor="background1" w:themeShade="80"/>
                      <w:sz w:val="20"/>
                    </w:rPr>
                    <w:t>S&amp;P 500</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+18.26</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+20.41</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+17.39</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+7.88</w:t>
                  </w:r>
                </w:p>
              </w:tc>
            </w:tr>
            <w:tr w:rsidR="008C70F3" w:rsidTr="00B40A19">
              <w:trPr>
                <w:trHeight w:val="319"/>
                <w:jc w:val="center"/>
              </w:trPr>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rPr>
                  </w:pPr>
                  <w:r>
                    <w:rPr>
                      <w:rFonts w:ascii="Verdana" w:hAnsi="Verdana"/>
                      <w:sz w:val="18"/>
                    </w:rPr>
                    <w:t>REAL YIELD</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szCs w:val="18"/>
                    </w:rPr>
                  </w:pPr>
                  <w:r>
                    <w:rPr>
                      <w:rFonts w:ascii="Verdana" w:hAnsi="Verdana"/>
                      <w:sz w:val="18"/>
                      <w:szCs w:val="18"/>
                    </w:rPr>
                    <w:t>11/30 RATE</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szCs w:val="18"/>
                    </w:rPr>
                  </w:pPr>
                  <w:r>
                    <w:rPr>
                      <w:rFonts w:ascii="Verdana" w:hAnsi="Verdana"/>
                      <w:sz w:val="18"/>
                      <w:szCs w:val="18"/>
                    </w:rPr>
                    <w:t>1 YR AGO</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szCs w:val="18"/>
                    </w:rPr>
                  </w:pPr>
                  <w:r>
                    <w:rPr>
                      <w:rFonts w:ascii="Verdana" w:hAnsi="Verdana"/>
                      <w:sz w:val="18"/>
                      <w:szCs w:val="18"/>
                    </w:rPr>
                    <w:t>5 YRS AGO</w:t>
                  </w:r>
                </w:p>
              </w:tc>
              <w:tc>
                <w:tcPr>
                  <w:tcW w:w="1368"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rsidR="00B40A19" w:rsidRDefault="00C4205F" w:rsidP="00B40A19">
                  <w:pPr>
                    <w:spacing w:line="256" w:lineRule="auto"/>
                    <w:jc w:val="center"/>
                    <w:rPr>
                      <w:rFonts w:ascii="Verdana" w:hAnsi="Verdana"/>
                      <w:sz w:val="18"/>
                      <w:szCs w:val="18"/>
                    </w:rPr>
                  </w:pPr>
                  <w:r>
                    <w:rPr>
                      <w:rFonts w:ascii="Verdana" w:hAnsi="Verdana"/>
                      <w:sz w:val="18"/>
                      <w:szCs w:val="18"/>
                    </w:rPr>
                    <w:t>10 YRS AGO</w:t>
                  </w:r>
                </w:p>
              </w:tc>
            </w:tr>
            <w:tr w:rsidR="008C70F3" w:rsidTr="00B40A19">
              <w:trPr>
                <w:trHeight w:val="70"/>
                <w:jc w:val="center"/>
              </w:trPr>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rPr>
                  </w:pPr>
                  <w:r>
                    <w:rPr>
                      <w:rFonts w:ascii="Verdana" w:hAnsi="Verdana"/>
                      <w:color w:val="808080" w:themeColor="background1" w:themeShade="80"/>
                      <w:sz w:val="20"/>
                    </w:rPr>
                    <w:t>10 YR TIPS</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ind w:left="720" w:hanging="720"/>
                    <w:jc w:val="center"/>
                    <w:rPr>
                      <w:rFonts w:ascii="Verdana" w:hAnsi="Verdana"/>
                      <w:color w:val="808080" w:themeColor="background1" w:themeShade="80"/>
                      <w:sz w:val="20"/>
                      <w:szCs w:val="20"/>
                    </w:rPr>
                  </w:pPr>
                  <w:r>
                    <w:rPr>
                      <w:rFonts w:ascii="Verdana" w:hAnsi="Verdana"/>
                      <w:color w:val="808080" w:themeColor="background1" w:themeShade="80"/>
                      <w:sz w:val="20"/>
                      <w:szCs w:val="20"/>
                    </w:rPr>
                    <w:t>0.56%</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ind w:left="720" w:hanging="720"/>
                    <w:jc w:val="center"/>
                    <w:rPr>
                      <w:rFonts w:ascii="Verdana" w:hAnsi="Verdana"/>
                      <w:color w:val="808080" w:themeColor="background1" w:themeShade="80"/>
                      <w:sz w:val="20"/>
                      <w:szCs w:val="20"/>
                    </w:rPr>
                  </w:pPr>
                  <w:r>
                    <w:rPr>
                      <w:rFonts w:ascii="Verdana" w:hAnsi="Verdana"/>
                      <w:color w:val="808080" w:themeColor="background1" w:themeShade="80"/>
                      <w:sz w:val="20"/>
                      <w:szCs w:val="20"/>
                    </w:rPr>
                    <w:t>0.43%</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ind w:left="720" w:hanging="720"/>
                    <w:jc w:val="center"/>
                    <w:rPr>
                      <w:rFonts w:ascii="Verdana" w:hAnsi="Verdana"/>
                      <w:color w:val="808080" w:themeColor="background1" w:themeShade="80"/>
                      <w:sz w:val="20"/>
                      <w:szCs w:val="20"/>
                    </w:rPr>
                  </w:pPr>
                  <w:r>
                    <w:rPr>
                      <w:rFonts w:ascii="Verdana" w:hAnsi="Verdana"/>
                      <w:color w:val="808080" w:themeColor="background1" w:themeShade="80"/>
                      <w:sz w:val="20"/>
                      <w:szCs w:val="20"/>
                    </w:rPr>
                    <w:t>-0.79%</w:t>
                  </w:r>
                </w:p>
              </w:tc>
              <w:tc>
                <w:tcPr>
                  <w:tcW w:w="1368" w:type="dxa"/>
                  <w:tcBorders>
                    <w:top w:val="single" w:sz="4" w:space="0" w:color="C0C0C0"/>
                    <w:left w:val="single" w:sz="4" w:space="0" w:color="C0C0C0"/>
                    <w:bottom w:val="single" w:sz="4" w:space="0" w:color="C0C0C0"/>
                    <w:right w:val="single" w:sz="4" w:space="0" w:color="C0C0C0"/>
                  </w:tcBorders>
                  <w:vAlign w:val="center"/>
                  <w:hideMark/>
                </w:tcPr>
                <w:p w:rsidR="00B40A19" w:rsidRDefault="00C4205F" w:rsidP="00B40A19">
                  <w:pPr>
                    <w:spacing w:line="256" w:lineRule="auto"/>
                    <w:jc w:val="center"/>
                    <w:rPr>
                      <w:rFonts w:ascii="Verdana" w:hAnsi="Verdana"/>
                      <w:color w:val="808080" w:themeColor="background1" w:themeShade="80"/>
                      <w:sz w:val="20"/>
                      <w:szCs w:val="20"/>
                    </w:rPr>
                  </w:pPr>
                  <w:r>
                    <w:rPr>
                      <w:rFonts w:ascii="Verdana" w:hAnsi="Verdana"/>
                      <w:color w:val="808080" w:themeColor="background1" w:themeShade="80"/>
                      <w:sz w:val="20"/>
                      <w:szCs w:val="20"/>
                    </w:rPr>
                    <w:t>1.63%</w:t>
                  </w:r>
                </w:p>
              </w:tc>
            </w:tr>
          </w:tbl>
          <w:p w:rsidR="00B40A19" w:rsidRDefault="00C4205F" w:rsidP="00B40A19">
            <w:pPr>
              <w:rPr>
                <w:rFonts w:ascii="Georgia" w:hAnsi="Georgia"/>
                <w:sz w:val="4"/>
              </w:rPr>
            </w:pPr>
            <w:r>
              <w:rPr>
                <w:rFonts w:ascii="Georgia" w:hAnsi="Georgia"/>
                <w:sz w:val="4"/>
              </w:rPr>
              <w:t xml:space="preserve">  </w:t>
            </w:r>
          </w:p>
          <w:p w:rsidR="00B40A19" w:rsidRDefault="00C4205F" w:rsidP="00B40A19">
            <w:pPr>
              <w:jc w:val="center"/>
              <w:rPr>
                <w:rFonts w:ascii="Verdana" w:hAnsi="Verdana"/>
                <w:color w:val="808080" w:themeColor="background1" w:themeShade="80"/>
                <w:sz w:val="14"/>
              </w:rPr>
            </w:pPr>
            <w:r>
              <w:rPr>
                <w:rFonts w:ascii="Georgia" w:hAnsi="Georgia"/>
                <w:color w:val="808080" w:themeColor="background1" w:themeShade="80"/>
                <w:sz w:val="4"/>
              </w:rPr>
              <w:br/>
            </w:r>
            <w:r>
              <w:rPr>
                <w:rFonts w:ascii="Verdana" w:hAnsi="Verdana"/>
                <w:color w:val="808080" w:themeColor="background1" w:themeShade="80"/>
                <w:sz w:val="14"/>
              </w:rPr>
              <w:t>Sources: finance.google.com, bigcharts.com, treasury.gov – 11/30/17</w:t>
            </w:r>
            <w:r>
              <w:rPr>
                <w:rFonts w:ascii="Verdana" w:hAnsi="Verdana"/>
                <w:color w:val="808080" w:themeColor="background1" w:themeShade="80"/>
                <w:sz w:val="14"/>
                <w:vertAlign w:val="superscript"/>
              </w:rPr>
              <w:t>21,22,23,24</w:t>
            </w:r>
          </w:p>
          <w:p w:rsidR="00B40A19" w:rsidRDefault="00C4205F" w:rsidP="00B40A19">
            <w:pPr>
              <w:jc w:val="center"/>
              <w:rPr>
                <w:rFonts w:ascii="Verdana" w:hAnsi="Verdana" w:cs="Verdana"/>
                <w:iCs/>
                <w:color w:val="808080"/>
                <w:spacing w:val="-4"/>
                <w:sz w:val="14"/>
                <w:szCs w:val="14"/>
              </w:rPr>
            </w:pPr>
            <w:r>
              <w:rPr>
                <w:rFonts w:ascii="Verdana" w:hAnsi="Verdana" w:cs="Verdana"/>
                <w:iCs/>
                <w:color w:val="808080" w:themeColor="background1" w:themeShade="80"/>
                <w:spacing w:val="-4"/>
                <w:sz w:val="14"/>
                <w:szCs w:val="14"/>
              </w:rPr>
              <w:t>Indices are unmanaged, do not incur fees or expenses</w:t>
            </w:r>
            <w:r>
              <w:rPr>
                <w:rFonts w:ascii="Verdana" w:hAnsi="Verdana" w:cs="Verdana"/>
                <w:iCs/>
                <w:color w:val="808080"/>
                <w:spacing w:val="-4"/>
                <w:sz w:val="14"/>
                <w:szCs w:val="14"/>
              </w:rPr>
              <w:t>, and cannot be invested into directly. These returns do not include dividends. 10-year TIPS real yield = projected return at maturity given expected inflation.</w:t>
            </w:r>
          </w:p>
          <w:p w:rsidR="00B40A19" w:rsidRDefault="00C4205F" w:rsidP="00B40A19">
            <w:pPr>
              <w:rPr>
                <w:rFonts w:ascii="Georgia" w:hAnsi="Georgia"/>
                <w:sz w:val="20"/>
              </w:rPr>
            </w:pPr>
            <w:r>
              <w:rPr>
                <w:rFonts w:ascii="Georgia" w:hAnsi="Georgia"/>
                <w:sz w:val="20"/>
              </w:rPr>
              <w:t xml:space="preserve">          </w:t>
            </w:r>
          </w:p>
          <w:p w:rsidR="00B40A19" w:rsidRDefault="00C4205F" w:rsidP="00B40A19">
            <w:pPr>
              <w:rPr>
                <w:rFonts w:ascii="Georgia" w:hAnsi="Georgia"/>
                <w:sz w:val="20"/>
              </w:rPr>
            </w:pPr>
            <w:r>
              <w:rPr>
                <w:rFonts w:ascii="Georgia" w:hAnsi="Georgia"/>
                <w:sz w:val="20"/>
              </w:rPr>
              <w:t>As mentioned, a December Federal Reserve rate hike seems a certainty to many investors. On December 1, the CME Group’s FedWatch Tool had the chances of a quarter-point federal funds rate increase at 93%, with 7% odds of a half-point hike and a 0% probability of the Fed standing pat. Given the growth rate in the second and third quarters, some bulls are wondering if the central bank will need to start tightening faster in 2018. Through history, bull markets tend to wane when accelerating inflation and robust growth combine to force a series of quick rate hikes at central banks. This current bull has had help from low inflation as well as accommodative monetary policy. It would certainly get a tailwind, perhaps a strong one, from passage of federal tax reforms. While potential stock market hazards always lurk, Wall Street seems very confident heading into the holiday season. A great 2017 could precede solid gains in 2018.</w:t>
            </w:r>
            <w:r>
              <w:rPr>
                <w:rFonts w:ascii="Georgia" w:hAnsi="Georgia"/>
                <w:sz w:val="20"/>
                <w:vertAlign w:val="superscript"/>
              </w:rPr>
              <w:t>25</w:t>
            </w:r>
          </w:p>
          <w:p w:rsidR="00B40A19" w:rsidRDefault="00C4205F" w:rsidP="00B40A19">
            <w:pPr>
              <w:rPr>
                <w:rFonts w:ascii="Georgia" w:hAnsi="Georgia"/>
                <w:sz w:val="20"/>
              </w:rPr>
            </w:pPr>
            <w:r>
              <w:rPr>
                <w:rFonts w:ascii="Georgia" w:hAnsi="Georgia"/>
                <w:sz w:val="20"/>
              </w:rPr>
              <w:t xml:space="preserve">      </w:t>
            </w:r>
          </w:p>
          <w:p w:rsidR="00B40A19" w:rsidRDefault="00C4205F" w:rsidP="00B40A19">
            <w:pPr>
              <w:rPr>
                <w:rFonts w:ascii="Georgia" w:hAnsi="Georgia"/>
                <w:color w:val="002060"/>
                <w:sz w:val="20"/>
              </w:rPr>
            </w:pPr>
            <w:r>
              <w:rPr>
                <w:rFonts w:ascii="Georgia" w:hAnsi="Georgia"/>
                <w:b/>
                <w:sz w:val="20"/>
              </w:rPr>
              <w:t>UPCOMING ECONOMIC RELEASES:</w:t>
            </w:r>
            <w:r>
              <w:rPr>
                <w:rFonts w:ascii="Georgia" w:hAnsi="Georgia"/>
                <w:color w:val="808080"/>
                <w:sz w:val="20"/>
              </w:rPr>
              <w:t xml:space="preserve"> </w:t>
            </w:r>
            <w:r>
              <w:rPr>
                <w:rFonts w:ascii="Georgia" w:hAnsi="Georgia"/>
                <w:color w:val="808080" w:themeColor="background1" w:themeShade="80"/>
                <w:sz w:val="20"/>
              </w:rPr>
              <w:t xml:space="preserve">Here are the news items investors will pay particular attention to in the last month of 2017. October factory orders (12/4), the November ISM service sector PMI (12/5), the latest ADP payrolls report (12/6), the November Challenger job cuts report (12/7), the Department of Labor’s latest unemployment report and the initial December University of Michigan consumer sentiment index reading (12/8), November wholesale inflation (12/12), a Federal </w:t>
            </w:r>
            <w:r>
              <w:rPr>
                <w:rFonts w:ascii="Georgia" w:hAnsi="Georgia"/>
                <w:color w:val="808080" w:themeColor="background1" w:themeShade="80"/>
                <w:sz w:val="20"/>
              </w:rPr>
              <w:lastRenderedPageBreak/>
              <w:t>Reserve interest rate decision and the November Consumer Price Index (12/13), November retail sales (12/14), November industrial production (12/15), November housing starts and building permits (12/19), November existing home sales (12/20), the final estimate of Q3 GDP (12/21), the month’s final University of Michigan consumer sentiment index, the latest PCE price index as well as November new home sales, consumer spending, and hard goods orders (12/22), and then, the NAR’s latest pending home sales index reading and the Conference Board’s December consumer confidence index (12/27).</w:t>
            </w:r>
          </w:p>
          <w:p w:rsidR="00245D8E" w:rsidRPr="009E61D8" w:rsidRDefault="00C4205F" w:rsidP="005D4165">
            <w:pPr>
              <w:rPr>
                <w:rFonts w:ascii="Georgia" w:hAnsi="Georgia"/>
                <w:color w:val="244061"/>
                <w:sz w:val="20"/>
              </w:rPr>
            </w:pPr>
            <w:r w:rsidRPr="00197323">
              <w:rPr>
                <w:rFonts w:ascii="Georgia" w:hAnsi="Georgia"/>
                <w:color w:val="808080" w:themeColor="background1" w:themeShade="80"/>
                <w:sz w:val="20"/>
              </w:rPr>
              <w:t xml:space="preserve"> </w:t>
            </w:r>
          </w:p>
        </w:tc>
      </w:tr>
      <w:tr w:rsidR="008C70F3" w:rsidTr="005D4165">
        <w:tc>
          <w:tcPr>
            <w:tcW w:w="9832" w:type="dxa"/>
            <w:gridSpan w:val="2"/>
            <w:tcBorders>
              <w:bottom w:val="single" w:sz="4" w:space="0" w:color="C0C0C0"/>
            </w:tcBorders>
            <w:shd w:val="clear" w:color="auto" w:fill="F3F3F3"/>
          </w:tcPr>
          <w:p w:rsidR="00245D8E" w:rsidRDefault="00421C58" w:rsidP="005D4165">
            <w:pPr>
              <w:jc w:val="center"/>
              <w:rPr>
                <w:rFonts w:ascii="Georgia" w:hAnsi="Georgia"/>
                <w:b/>
                <w:i/>
                <w:color w:val="000000"/>
                <w:sz w:val="4"/>
              </w:rPr>
            </w:pPr>
          </w:p>
          <w:p w:rsidR="00245D8E" w:rsidRDefault="00C4205F" w:rsidP="005D4165">
            <w:pPr>
              <w:jc w:val="center"/>
              <w:rPr>
                <w:rFonts w:ascii="Georgia" w:hAnsi="Georgia"/>
                <w:b/>
                <w:i/>
                <w:color w:val="000000"/>
                <w:sz w:val="18"/>
              </w:rPr>
            </w:pPr>
            <w:r>
              <w:rPr>
                <w:rFonts w:ascii="Georgia" w:hAnsi="Georgia"/>
                <w:b/>
                <w:i/>
                <w:color w:val="000000"/>
                <w:sz w:val="18"/>
              </w:rPr>
              <w:t xml:space="preserve">Please feel free to forward this article to family, friends or colleagues. </w:t>
            </w:r>
            <w:r>
              <w:rPr>
                <w:rFonts w:ascii="Georgia" w:hAnsi="Georgia"/>
                <w:b/>
                <w:i/>
                <w:color w:val="000000"/>
                <w:sz w:val="18"/>
              </w:rPr>
              <w:br/>
              <w:t>If you would like us to add them to our distribution list, please reply with their address.</w:t>
            </w:r>
            <w:r>
              <w:rPr>
                <w:rFonts w:ascii="Georgia" w:hAnsi="Georgia"/>
                <w:b/>
                <w:i/>
                <w:color w:val="000000"/>
                <w:sz w:val="18"/>
              </w:rPr>
              <w:br/>
              <w:t>We will contact them first and request their permission to add them to our list.</w:t>
            </w:r>
          </w:p>
          <w:p w:rsidR="00245D8E" w:rsidRDefault="00421C58" w:rsidP="005D4165">
            <w:pPr>
              <w:jc w:val="center"/>
              <w:rPr>
                <w:rFonts w:ascii="Georgia" w:hAnsi="Georgia"/>
                <w:b/>
                <w:color w:val="000000"/>
                <w:sz w:val="4"/>
              </w:rPr>
            </w:pPr>
          </w:p>
        </w:tc>
      </w:tr>
      <w:tr w:rsidR="008C70F3" w:rsidTr="005D4165">
        <w:tc>
          <w:tcPr>
            <w:tcW w:w="9832" w:type="dxa"/>
            <w:gridSpan w:val="2"/>
            <w:tcBorders>
              <w:top w:val="single" w:sz="4" w:space="0" w:color="C0C0C0"/>
              <w:left w:val="nil"/>
              <w:bottom w:val="nil"/>
              <w:right w:val="nil"/>
            </w:tcBorders>
          </w:tcPr>
          <w:p w:rsidR="00245D8E" w:rsidRDefault="00421C58" w:rsidP="005D4165">
            <w:pPr>
              <w:rPr>
                <w:rFonts w:ascii="Georgia" w:hAnsi="Georgia"/>
              </w:rPr>
            </w:pPr>
          </w:p>
        </w:tc>
      </w:tr>
      <w:tr w:rsidR="008C70F3" w:rsidTr="005D4165">
        <w:trPr>
          <w:trHeight w:val="9360"/>
        </w:trPr>
        <w:tc>
          <w:tcPr>
            <w:tcW w:w="9832" w:type="dxa"/>
            <w:gridSpan w:val="2"/>
            <w:tcBorders>
              <w:top w:val="nil"/>
              <w:left w:val="nil"/>
              <w:bottom w:val="nil"/>
              <w:right w:val="nil"/>
            </w:tcBorders>
          </w:tcPr>
          <w:p w:rsidR="00245D8E" w:rsidRDefault="00421C58" w:rsidP="005D4165">
            <w:pPr>
              <w:rPr>
                <w:rFonts w:ascii="Georgia" w:hAnsi="Georgia"/>
                <w:color w:val="808080"/>
                <w:sz w:val="20"/>
              </w:rPr>
            </w:pPr>
          </w:p>
          <w:p w:rsidR="00AC3935" w:rsidRDefault="00AC3935" w:rsidP="00AC3935">
            <w:pPr>
              <w:jc w:val="center"/>
              <w:rPr>
                <w:rFonts w:ascii="Georgia" w:hAnsi="Georgia"/>
                <w:i/>
                <w:sz w:val="20"/>
                <w:szCs w:val="20"/>
              </w:rPr>
            </w:pPr>
            <w:r>
              <w:rPr>
                <w:rFonts w:ascii="Georgia" w:hAnsi="Georgia"/>
                <w:i/>
                <w:sz w:val="20"/>
                <w:szCs w:val="20"/>
              </w:rPr>
              <w:t>Dennis J. Foegen, AAMS®, CFP®</w:t>
            </w:r>
          </w:p>
          <w:p w:rsidR="00AC3935" w:rsidRDefault="00AC3935" w:rsidP="00AC3935">
            <w:pPr>
              <w:jc w:val="center"/>
              <w:rPr>
                <w:rFonts w:ascii="Georgia" w:hAnsi="Georgia"/>
              </w:rPr>
            </w:pPr>
            <w:r>
              <w:rPr>
                <w:rFonts w:ascii="Georgia" w:hAnsi="Georgia"/>
              </w:rPr>
              <w:t>PROSPERA FINANCIAL SERVICES</w:t>
            </w:r>
          </w:p>
          <w:p w:rsidR="00AC3935" w:rsidRDefault="00AC3935" w:rsidP="00AC3935">
            <w:pPr>
              <w:jc w:val="center"/>
              <w:rPr>
                <w:rFonts w:ascii="Cambria" w:hAnsi="Cambria"/>
                <w:sz w:val="20"/>
                <w:szCs w:val="20"/>
              </w:rPr>
            </w:pPr>
            <w:r>
              <w:rPr>
                <w:rFonts w:ascii="Cambria" w:hAnsi="Cambria"/>
                <w:sz w:val="20"/>
                <w:szCs w:val="20"/>
              </w:rPr>
              <w:t>2124 N. 33</w:t>
            </w:r>
            <w:r w:rsidRPr="00AC3935">
              <w:rPr>
                <w:rFonts w:ascii="Cambria" w:hAnsi="Cambria"/>
                <w:sz w:val="20"/>
                <w:szCs w:val="20"/>
                <w:vertAlign w:val="superscript"/>
              </w:rPr>
              <w:t>rd</w:t>
            </w:r>
            <w:r>
              <w:rPr>
                <w:rFonts w:ascii="Cambria" w:hAnsi="Cambria"/>
                <w:sz w:val="20"/>
                <w:szCs w:val="20"/>
              </w:rPr>
              <w:t xml:space="preserve"> West Ave</w:t>
            </w:r>
          </w:p>
          <w:p w:rsidR="00AC3935" w:rsidRDefault="00AC3935" w:rsidP="00AC3935">
            <w:pPr>
              <w:jc w:val="center"/>
              <w:rPr>
                <w:rFonts w:ascii="Cambria" w:hAnsi="Cambria"/>
                <w:sz w:val="20"/>
                <w:szCs w:val="20"/>
              </w:rPr>
            </w:pPr>
            <w:r>
              <w:rPr>
                <w:rFonts w:ascii="Cambria" w:hAnsi="Cambria"/>
                <w:sz w:val="20"/>
                <w:szCs w:val="20"/>
              </w:rPr>
              <w:t>Tulsa, Oklahoma 74127-2013</w:t>
            </w:r>
          </w:p>
          <w:p w:rsidR="00AC3935" w:rsidRDefault="00AC3935" w:rsidP="00AC3935">
            <w:pPr>
              <w:jc w:val="center"/>
              <w:rPr>
                <w:rFonts w:ascii="Cambria" w:hAnsi="Cambria"/>
                <w:sz w:val="20"/>
                <w:szCs w:val="20"/>
              </w:rPr>
            </w:pPr>
            <w:r>
              <w:rPr>
                <w:rFonts w:ascii="Cambria" w:hAnsi="Cambria"/>
                <w:sz w:val="20"/>
                <w:szCs w:val="20"/>
              </w:rPr>
              <w:t>(918) 551-6100</w:t>
            </w:r>
          </w:p>
          <w:p w:rsidR="00AC3935" w:rsidRDefault="00421C58" w:rsidP="00AC3935">
            <w:pPr>
              <w:jc w:val="center"/>
              <w:rPr>
                <w:rFonts w:ascii="Arial" w:hAnsi="Arial" w:cs="Arial"/>
                <w:i/>
                <w:sz w:val="16"/>
                <w:szCs w:val="16"/>
              </w:rPr>
            </w:pPr>
            <w:hyperlink r:id="rId8" w:history="1">
              <w:r w:rsidR="00AC3935">
                <w:rPr>
                  <w:rStyle w:val="Hyperlink"/>
                  <w:rFonts w:ascii="Arial" w:hAnsi="Arial" w:cs="Arial"/>
                  <w:i/>
                  <w:sz w:val="16"/>
                  <w:szCs w:val="16"/>
                </w:rPr>
                <w:t>dennis.foegen@prosperafinancial.com</w:t>
              </w:r>
            </w:hyperlink>
          </w:p>
          <w:p w:rsidR="00AC3935" w:rsidRDefault="00AC3935" w:rsidP="00AC3935">
            <w:pPr>
              <w:rPr>
                <w:rFonts w:ascii="Georgia" w:hAnsi="Georgia"/>
                <w:sz w:val="20"/>
              </w:rPr>
            </w:pPr>
          </w:p>
          <w:p w:rsidR="00AC3935" w:rsidRDefault="00AC3935" w:rsidP="00AC3935">
            <w:pPr>
              <w:rPr>
                <w:rFonts w:ascii="Georgia" w:hAnsi="Georgia"/>
                <w:color w:val="808080"/>
                <w:sz w:val="20"/>
              </w:rPr>
            </w:pPr>
            <w:r>
              <w:rPr>
                <w:rFonts w:ascii="Georgia" w:hAnsi="Georgia"/>
                <w:sz w:val="20"/>
              </w:rPr>
              <w:t>“Securities and advisory services offered by Prospera Financial Services, Member of FINRA/SIPC”</w:t>
            </w:r>
          </w:p>
          <w:p w:rsidR="00245D8E" w:rsidRDefault="00421C58" w:rsidP="005D4165">
            <w:pPr>
              <w:rPr>
                <w:rFonts w:ascii="Georgia" w:hAnsi="Georgia"/>
                <w:color w:val="808080"/>
                <w:sz w:val="20"/>
              </w:rPr>
            </w:pPr>
          </w:p>
          <w:p w:rsidR="00245D8E" w:rsidRPr="00FD5939" w:rsidRDefault="00C4205F" w:rsidP="005D4165">
            <w:pPr>
              <w:widowControl w:val="0"/>
              <w:autoSpaceDE w:val="0"/>
              <w:autoSpaceDN w:val="0"/>
              <w:adjustRightInd w:val="0"/>
              <w:rPr>
                <w:rFonts w:ascii="Georgia" w:hAnsi="Georgia"/>
                <w:color w:val="808080"/>
                <w:sz w:val="16"/>
                <w:szCs w:val="16"/>
              </w:rPr>
            </w:pPr>
            <w:r w:rsidRPr="00FD5939">
              <w:rPr>
                <w:rFonts w:ascii="Georgia" w:hAnsi="Georgia" w:cs="Arial"/>
                <w:color w:val="808080"/>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market indices discussed are unmanaged and are not illustrative of any particular investment. Indices do not incur management fees, costs and expenses, and cannot be invested into directly. All economic and performance data is historical and not indicative of future results.</w:t>
            </w:r>
            <w:r w:rsidRPr="00FD5939">
              <w:rPr>
                <w:rFonts w:ascii="Georgia" w:hAnsi="Georgia"/>
                <w:color w:val="808080"/>
                <w:sz w:val="16"/>
                <w:szCs w:val="16"/>
              </w:rPr>
              <w:t xml:space="preserve">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w:t>
            </w:r>
            <w:r w:rsidRPr="00FD5939">
              <w:rPr>
                <w:rFonts w:ascii="Georgia" w:hAnsi="Georgia"/>
                <w:iCs/>
                <w:color w:val="808080"/>
                <w:sz w:val="16"/>
                <w:szCs w:val="16"/>
              </w:rPr>
              <w:t xml:space="preserve"> is a market-cap weighted index composed of the common stocks of 500 leading companies in leading industries of the U.S. economy</w:t>
            </w:r>
            <w:r w:rsidRPr="00FD5939">
              <w:rPr>
                <w:rFonts w:ascii="Georgia" w:hAnsi="Georgia"/>
                <w:color w:val="808080"/>
                <w:sz w:val="16"/>
                <w:szCs w:val="16"/>
              </w:rPr>
              <w:t xml:space="preserve">. The Russell 2000 Index measures the performance of the small-cap segment of the U.S. equity universe. The CBOE Volatility Index® (VIX®) is a key measure of market expectations of near-term volatility conveyed by S&amp;P 500 stock index option prices. NYSE Group, Inc. (NYSE:NYX) operates two securities exchanges: the New York Stock Exchange (the “NYSE”) and NYSE Arca (formerly known as the Archipelago Exchange, or ArcaEx®, and the Pacific Exchange). NYSE Group is a leading provider of securities listing, trading and market </w:t>
            </w:r>
            <w:r w:rsidRPr="008D2CAE">
              <w:rPr>
                <w:rFonts w:ascii="Georgia" w:hAnsi="Georgia"/>
                <w:color w:val="808080" w:themeColor="background1" w:themeShade="80"/>
                <w:sz w:val="16"/>
                <w:szCs w:val="16"/>
              </w:rPr>
              <w:t>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w:t>
            </w:r>
            <w:r>
              <w:rPr>
                <w:rFonts w:ascii="Georgia" w:hAnsi="Georgia"/>
                <w:color w:val="808080" w:themeColor="background1" w:themeShade="80"/>
                <w:sz w:val="16"/>
                <w:szCs w:val="16"/>
              </w:rPr>
              <w:t xml:space="preserve"> </w:t>
            </w:r>
            <w:r w:rsidRPr="008B7D34">
              <w:rPr>
                <w:rFonts w:ascii="Georgia" w:hAnsi="Georgia"/>
                <w:color w:val="808080" w:themeColor="background1" w:themeShade="80"/>
                <w:sz w:val="16"/>
                <w:szCs w:val="16"/>
              </w:rPr>
              <w:t xml:space="preserve">The FTSE TWSE Taiwan 50 Index consists of the largest 50 companies by full market value, and is also the first narrow-based index published in Taiwan. The Bovespa Index is a gross total return index weighted by traded volume &amp; is comprised of the most liquid stocks traded on the Sao Paulo Stock Exchange. The Mexican Stock Exchange, commonly known as Mexican Bolsa, Mexbol, or BMV, is the only stock exchange in Mexico. The IBEX 35 is the benchmark stock market index of the Bolsa de Madrid, Spain’s principal stock exchange. </w:t>
            </w:r>
            <w:r w:rsidRPr="008B7D34">
              <w:rPr>
                <w:rFonts w:ascii="Georgia" w:hAnsi="Georgia"/>
                <w:color w:val="808080" w:themeColor="background1" w:themeShade="80"/>
                <w:sz w:val="16"/>
              </w:rPr>
              <w:t xml:space="preserve">The CAC-40 Index is a narrow-based, modified capitalization-weighted index of 40 companies listed on the Paris Bourse. </w:t>
            </w:r>
            <w:r w:rsidRPr="008B7D34">
              <w:rPr>
                <w:rFonts w:ascii="Georgia" w:hAnsi="Georgia"/>
                <w:color w:val="808080" w:themeColor="background1" w:themeShade="80"/>
                <w:sz w:val="16"/>
                <w:szCs w:val="16"/>
              </w:rPr>
              <w:t xml:space="preserve">The SSE Composite Index is an index of all stocks (A shares and B shares) that are traded at the Shanghai Stock Exchange. The FTSE 100 Index is a share index of the 100 companies listed on the London Stock Exchange with the highest market capitalization. </w:t>
            </w:r>
            <w:r w:rsidRPr="008B7D34">
              <w:rPr>
                <w:rFonts w:ascii="Georgia" w:hAnsi="Georgia"/>
                <w:color w:val="808080" w:themeColor="background1" w:themeShade="80"/>
                <w:sz w:val="16"/>
              </w:rPr>
              <w:t>The FTSE Eurofirst 300 measures the performance of Europe’s largest 300 companies by market capitalization and covers 70% of Europe's market cap.</w:t>
            </w:r>
            <w:r w:rsidRPr="008B7D34">
              <w:rPr>
                <w:rFonts w:ascii="Georgia" w:hAnsi="Georgia"/>
                <w:color w:val="808080" w:themeColor="background1" w:themeShade="80"/>
                <w:sz w:val="16"/>
                <w:szCs w:val="16"/>
              </w:rPr>
              <w:t xml:space="preserve"> </w:t>
            </w:r>
            <w:r w:rsidRPr="008B7D34">
              <w:rPr>
                <w:rFonts w:ascii="Georgia" w:hAnsi="Georgia"/>
                <w:color w:val="808080" w:themeColor="background1" w:themeShade="80"/>
                <w:sz w:val="16"/>
              </w:rPr>
              <w:t>The DAX 30 is a Blue-Chip stock market index consisting of the 30 major German companies trading on the Frankfurt Stock Exchange.</w:t>
            </w:r>
            <w:r>
              <w:rPr>
                <w:rFonts w:ascii="Georgia" w:hAnsi="Georgia"/>
                <w:color w:val="808080" w:themeColor="background1" w:themeShade="80"/>
                <w:sz w:val="16"/>
              </w:rPr>
              <w:t xml:space="preserve"> </w:t>
            </w:r>
            <w:r w:rsidRPr="001A1DFA">
              <w:rPr>
                <w:rFonts w:ascii="Georgia" w:hAnsi="Georgia"/>
                <w:color w:val="808080"/>
                <w:sz w:val="16"/>
              </w:rPr>
              <w:t>The Nifty 50 (NTFE 50) is a well-diversified 50-stock index accounting for 13 sectors of the Indian economy. It is used for a variety of purposes such as benchmarking fund portfolios, index-bas</w:t>
            </w:r>
            <w:r>
              <w:rPr>
                <w:rFonts w:ascii="Georgia" w:hAnsi="Georgia"/>
                <w:color w:val="808080"/>
                <w:sz w:val="16"/>
              </w:rPr>
              <w:t>ed derivatives and index funds.</w:t>
            </w:r>
            <w:r w:rsidRPr="008B7D34">
              <w:rPr>
                <w:rFonts w:ascii="Georgia" w:hAnsi="Georgia"/>
                <w:color w:val="808080" w:themeColor="background1" w:themeShade="80"/>
                <w:sz w:val="16"/>
              </w:rPr>
              <w:t xml:space="preserve"> Nikkei 225 (Ticker: ^N225) is a stock market index for the Tokyo Stock </w:t>
            </w:r>
            <w:r w:rsidRPr="00E70911">
              <w:rPr>
                <w:rFonts w:ascii="Georgia" w:hAnsi="Georgia"/>
                <w:color w:val="808080" w:themeColor="background1" w:themeShade="80"/>
                <w:sz w:val="16"/>
              </w:rPr>
              <w:t>Exchange (TSE).  The Nikkei average is the most watched index of Asian stocks. The Hang Seng Index is a free float-adjusted market capitalization-weighted stock market index that is the main indicator of the overall market performance in Hong Kong. The MSCI World Index is a free-float weighted equity index that includes developed world markets, and does not include emerging markets. The MSCI Emerging Markets Index is a float-adjusted market capitalization index consisting of indices in more than 25 emerging economies.</w:t>
            </w:r>
            <w:r w:rsidRPr="00E70911">
              <w:rPr>
                <w:rFonts w:ascii="Georgia" w:hAnsi="Georgia"/>
                <w:color w:val="808080" w:themeColor="background1" w:themeShade="80"/>
                <w:sz w:val="16"/>
                <w:szCs w:val="16"/>
              </w:rPr>
              <w:t xml:space="preserve"> The MICEX 10 Index is an unweighted price index that tracks the ten most liquid Russian stocks listed on MICEX-RTS in Moscow. </w:t>
            </w:r>
            <w:r w:rsidRPr="00E70911">
              <w:rPr>
                <w:rFonts w:ascii="Georgia" w:hAnsi="Georgia"/>
                <w:color w:val="808080" w:themeColor="background1" w:themeShade="80"/>
                <w:sz w:val="16"/>
              </w:rPr>
              <w:t xml:space="preserve">The Straits Times Index (STI), maintained &amp; calculated by FTSE, is the most globally recognized benchmark index and market barometer for Singapore. The All Ordinaries (XAO) is considered a total market barometer for the Australian stock market and contains the 500 largest ASX-listed companies by way of market capitalization. </w:t>
            </w:r>
            <w:r w:rsidRPr="009464DD">
              <w:rPr>
                <w:rFonts w:ascii="Georgia" w:hAnsi="Georgia"/>
                <w:color w:val="808080" w:themeColor="background1" w:themeShade="80"/>
                <w:sz w:val="16"/>
                <w:szCs w:val="16"/>
              </w:rPr>
              <w:t xml:space="preserve">The US Dollar </w:t>
            </w:r>
            <w:r w:rsidRPr="008F2155">
              <w:rPr>
                <w:rFonts w:ascii="Georgia" w:hAnsi="Georgia"/>
                <w:color w:val="808080" w:themeColor="background1" w:themeShade="80"/>
                <w:sz w:val="16"/>
                <w:szCs w:val="16"/>
              </w:rPr>
              <w:t xml:space="preserve">Index measures the performance of the U.S. dollar against a basket of six currencies. </w:t>
            </w:r>
            <w:r w:rsidRPr="00962770">
              <w:rPr>
                <w:rFonts w:ascii="Georgia" w:hAnsi="Georgia" w:cs="Arial"/>
                <w:color w:val="808080" w:themeColor="background1" w:themeShade="80"/>
                <w:sz w:val="16"/>
                <w:szCs w:val="16"/>
              </w:rPr>
              <w:t xml:space="preserve">Additional risks are associated with international </w:t>
            </w:r>
            <w:r w:rsidRPr="00FD5939">
              <w:rPr>
                <w:rFonts w:ascii="Georgia" w:hAnsi="Georgia" w:cs="Arial"/>
                <w:color w:val="808080"/>
                <w:sz w:val="16"/>
                <w:szCs w:val="16"/>
              </w:rPr>
              <w:t>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r w:rsidRPr="00FD5939">
              <w:rPr>
                <w:rFonts w:ascii="Georgia" w:hAnsi="Georgia"/>
                <w:color w:val="808080"/>
                <w:sz w:val="16"/>
                <w:szCs w:val="16"/>
              </w:rPr>
              <w:t>.</w:t>
            </w:r>
          </w:p>
          <w:p w:rsidR="00245D8E" w:rsidRDefault="00C4205F" w:rsidP="005D4165">
            <w:pPr>
              <w:widowControl w:val="0"/>
              <w:autoSpaceDE w:val="0"/>
              <w:autoSpaceDN w:val="0"/>
              <w:adjustRightInd w:val="0"/>
              <w:rPr>
                <w:rFonts w:ascii="Georgia" w:hAnsi="Georgia"/>
                <w:color w:val="808080"/>
                <w:sz w:val="16"/>
              </w:rPr>
            </w:pPr>
            <w:r>
              <w:rPr>
                <w:rFonts w:ascii="Georgia" w:hAnsi="Georgia"/>
                <w:color w:val="808080"/>
                <w:sz w:val="16"/>
              </w:rPr>
              <w:t xml:space="preserve"> </w:t>
            </w:r>
          </w:p>
          <w:p w:rsidR="00245D8E" w:rsidRDefault="00C4205F" w:rsidP="005D4165">
            <w:pPr>
              <w:widowControl w:val="0"/>
              <w:autoSpaceDE w:val="0"/>
              <w:autoSpaceDN w:val="0"/>
              <w:adjustRightInd w:val="0"/>
              <w:rPr>
                <w:rFonts w:ascii="Georgia" w:hAnsi="Georgia"/>
                <w:color w:val="808080"/>
                <w:sz w:val="16"/>
              </w:rPr>
            </w:pPr>
            <w:r>
              <w:rPr>
                <w:rFonts w:ascii="Georgia" w:hAnsi="Georgia"/>
                <w:b/>
                <w:color w:val="808080"/>
              </w:rPr>
              <w:t>Citations.</w:t>
            </w:r>
          </w:p>
          <w:p w:rsidR="00245D8E" w:rsidRPr="00075EDF" w:rsidRDefault="00C4205F" w:rsidP="005D4165">
            <w:pPr>
              <w:pStyle w:val="PlainText"/>
              <w:rPr>
                <w:rFonts w:ascii="Georgia" w:hAnsi="Georgia" w:cs="Courier New"/>
                <w:color w:val="808080"/>
                <w:sz w:val="16"/>
                <w:szCs w:val="16"/>
              </w:rPr>
            </w:pPr>
            <w:r>
              <w:rPr>
                <w:rFonts w:ascii="Georgia" w:hAnsi="Georgia" w:cs="Courier New"/>
                <w:color w:val="808080"/>
                <w:sz w:val="16"/>
                <w:szCs w:val="16"/>
              </w:rPr>
              <w:t>1</w:t>
            </w:r>
            <w:r w:rsidRPr="00075EDF">
              <w:rPr>
                <w:rFonts w:ascii="Georgia" w:hAnsi="Georgia" w:cs="Courier New"/>
                <w:color w:val="808080"/>
                <w:sz w:val="16"/>
                <w:szCs w:val="16"/>
              </w:rPr>
              <w:t xml:space="preserve"> - </w:t>
            </w:r>
            <w:r w:rsidRPr="004A6B87">
              <w:rPr>
                <w:rFonts w:ascii="Georgia" w:hAnsi="Georgia" w:cs="Courier New"/>
                <w:color w:val="808080"/>
                <w:sz w:val="16"/>
                <w:szCs w:val="16"/>
              </w:rPr>
              <w:t xml:space="preserve">finance.google.com/finance?q=INDEXSP%3A.INX&amp;ei=6JcgWoKgH4GG2Ab8_LzoDA </w:t>
            </w:r>
            <w:r>
              <w:rPr>
                <w:rFonts w:ascii="Georgia" w:hAnsi="Georgia" w:cs="Courier New"/>
                <w:color w:val="808080"/>
                <w:sz w:val="16"/>
                <w:szCs w:val="16"/>
              </w:rPr>
              <w:t>[11/30/17]</w:t>
            </w:r>
          </w:p>
          <w:p w:rsidR="00FC0CBC" w:rsidRPr="00EA3A8C" w:rsidRDefault="00C4205F" w:rsidP="00FC0CBC">
            <w:pPr>
              <w:pStyle w:val="BodyText"/>
              <w:rPr>
                <w:rFonts w:cs="Calibri"/>
                <w:color w:val="808080"/>
                <w:sz w:val="16"/>
                <w:szCs w:val="16"/>
              </w:rPr>
            </w:pPr>
            <w:r>
              <w:rPr>
                <w:rFonts w:cs="Calibri"/>
                <w:color w:val="808080"/>
                <w:sz w:val="16"/>
                <w:szCs w:val="16"/>
              </w:rPr>
              <w:t>2</w:t>
            </w:r>
            <w:r w:rsidRPr="00EA3A8C">
              <w:rPr>
                <w:rFonts w:cs="Calibri"/>
                <w:color w:val="808080"/>
                <w:sz w:val="16"/>
                <w:szCs w:val="16"/>
              </w:rPr>
              <w:t xml:space="preserve"> - </w:t>
            </w:r>
            <w:r w:rsidRPr="004A6B87">
              <w:rPr>
                <w:rFonts w:cs="Calibri"/>
                <w:color w:val="808080"/>
                <w:sz w:val="16"/>
                <w:szCs w:val="16"/>
              </w:rPr>
              <w:t xml:space="preserve">nytimes.com/2017/11/30/business/dow-stock-markets.html </w:t>
            </w:r>
            <w:r w:rsidRPr="00EA3A8C">
              <w:rPr>
                <w:rFonts w:cs="Calibri"/>
                <w:color w:val="808080"/>
                <w:sz w:val="16"/>
                <w:szCs w:val="16"/>
              </w:rPr>
              <w:t>[</w:t>
            </w:r>
            <w:r>
              <w:rPr>
                <w:rFonts w:cs="Calibri"/>
                <w:color w:val="808080"/>
                <w:sz w:val="16"/>
                <w:szCs w:val="16"/>
              </w:rPr>
              <w:t>11</w:t>
            </w:r>
            <w:r w:rsidRPr="00EA3A8C">
              <w:rPr>
                <w:rFonts w:cs="Calibri"/>
                <w:color w:val="808080"/>
                <w:sz w:val="16"/>
                <w:szCs w:val="16"/>
              </w:rPr>
              <w:t>/</w:t>
            </w:r>
            <w:r>
              <w:rPr>
                <w:rFonts w:cs="Calibri"/>
                <w:color w:val="808080"/>
                <w:sz w:val="16"/>
                <w:szCs w:val="16"/>
              </w:rPr>
              <w:t>30</w:t>
            </w:r>
            <w:r w:rsidRPr="00EA3A8C">
              <w:rPr>
                <w:rFonts w:cs="Calibri"/>
                <w:color w:val="808080"/>
                <w:sz w:val="16"/>
                <w:szCs w:val="16"/>
              </w:rPr>
              <w:t>/17]</w:t>
            </w:r>
          </w:p>
          <w:p w:rsidR="00245D8E" w:rsidRDefault="00C4205F" w:rsidP="005D4165">
            <w:pPr>
              <w:rPr>
                <w:rFonts w:ascii="Georgia" w:hAnsi="Georgia" w:cs="Arial"/>
                <w:color w:val="808080"/>
                <w:sz w:val="16"/>
              </w:rPr>
            </w:pPr>
            <w:r>
              <w:rPr>
                <w:rFonts w:ascii="Georgia" w:hAnsi="Georgia" w:cs="Arial"/>
                <w:color w:val="808080"/>
                <w:sz w:val="16"/>
              </w:rPr>
              <w:t>3</w:t>
            </w:r>
            <w:r w:rsidRPr="00CC40F0">
              <w:rPr>
                <w:rFonts w:ascii="Georgia" w:hAnsi="Georgia" w:cs="Arial"/>
                <w:color w:val="808080"/>
                <w:sz w:val="16"/>
              </w:rPr>
              <w:t xml:space="preserve"> - </w:t>
            </w:r>
            <w:r w:rsidRPr="00B5317B">
              <w:rPr>
                <w:rFonts w:ascii="Georgia" w:hAnsi="Georgia" w:cs="Arial"/>
                <w:color w:val="808080"/>
                <w:sz w:val="16"/>
              </w:rPr>
              <w:t xml:space="preserve">investing.com/economic-calendar/ </w:t>
            </w:r>
            <w:r w:rsidRPr="00CC40F0">
              <w:rPr>
                <w:rFonts w:ascii="Georgia" w:hAnsi="Georgia" w:cs="Arial"/>
                <w:color w:val="808080"/>
                <w:sz w:val="16"/>
              </w:rPr>
              <w:t>[</w:t>
            </w:r>
            <w:r>
              <w:rPr>
                <w:rFonts w:ascii="Georgia" w:hAnsi="Georgia" w:cs="Arial"/>
                <w:color w:val="808080"/>
                <w:sz w:val="16"/>
              </w:rPr>
              <w:t>11/30</w:t>
            </w:r>
            <w:r w:rsidRPr="00CC40F0">
              <w:rPr>
                <w:rFonts w:ascii="Georgia" w:hAnsi="Georgia" w:cs="Arial"/>
                <w:color w:val="808080"/>
                <w:sz w:val="16"/>
              </w:rPr>
              <w:t>/1</w:t>
            </w:r>
            <w:r>
              <w:rPr>
                <w:rFonts w:ascii="Georgia" w:hAnsi="Georgia" w:cs="Arial"/>
                <w:color w:val="808080"/>
                <w:sz w:val="16"/>
              </w:rPr>
              <w:t>7</w:t>
            </w:r>
            <w:r w:rsidRPr="00CC40F0">
              <w:rPr>
                <w:rFonts w:ascii="Georgia" w:hAnsi="Georgia" w:cs="Arial"/>
                <w:color w:val="808080"/>
                <w:sz w:val="16"/>
              </w:rPr>
              <w:t>]</w:t>
            </w:r>
          </w:p>
          <w:p w:rsidR="00886093" w:rsidRPr="00EA3A8C" w:rsidRDefault="00C4205F" w:rsidP="00886093">
            <w:pPr>
              <w:pStyle w:val="BodyText"/>
              <w:rPr>
                <w:rFonts w:cs="Calibri"/>
                <w:color w:val="808080"/>
                <w:sz w:val="16"/>
                <w:szCs w:val="16"/>
              </w:rPr>
            </w:pPr>
            <w:r>
              <w:rPr>
                <w:rFonts w:cs="Calibri"/>
                <w:color w:val="808080"/>
                <w:sz w:val="16"/>
                <w:szCs w:val="16"/>
              </w:rPr>
              <w:lastRenderedPageBreak/>
              <w:t>4</w:t>
            </w:r>
            <w:r w:rsidRPr="00EA3A8C">
              <w:rPr>
                <w:rFonts w:cs="Calibri"/>
                <w:color w:val="808080"/>
                <w:sz w:val="16"/>
                <w:szCs w:val="16"/>
              </w:rPr>
              <w:t xml:space="preserve"> - </w:t>
            </w:r>
            <w:r w:rsidRPr="00EE7B4A">
              <w:rPr>
                <w:rFonts w:cs="Calibri"/>
                <w:color w:val="808080"/>
                <w:sz w:val="16"/>
                <w:szCs w:val="16"/>
              </w:rPr>
              <w:t xml:space="preserve">sca.isr.umich.edu/ </w:t>
            </w:r>
            <w:r w:rsidRPr="00EA3A8C">
              <w:rPr>
                <w:rFonts w:cs="Calibri"/>
                <w:color w:val="808080"/>
                <w:sz w:val="16"/>
                <w:szCs w:val="16"/>
              </w:rPr>
              <w:t>[</w:t>
            </w:r>
            <w:r>
              <w:rPr>
                <w:rFonts w:cs="Calibri"/>
                <w:color w:val="808080"/>
                <w:sz w:val="16"/>
                <w:szCs w:val="16"/>
              </w:rPr>
              <w:t>11/22</w:t>
            </w:r>
            <w:r w:rsidRPr="00EA3A8C">
              <w:rPr>
                <w:rFonts w:cs="Calibri"/>
                <w:color w:val="808080"/>
                <w:sz w:val="16"/>
                <w:szCs w:val="16"/>
              </w:rPr>
              <w:t>/17]</w:t>
            </w:r>
          </w:p>
          <w:p w:rsidR="00FC2606" w:rsidRPr="00EA3A8C" w:rsidRDefault="00C4205F" w:rsidP="00FC2606">
            <w:pPr>
              <w:pStyle w:val="BodyText"/>
              <w:rPr>
                <w:rFonts w:cs="Calibri"/>
                <w:color w:val="808080"/>
                <w:sz w:val="16"/>
                <w:szCs w:val="16"/>
              </w:rPr>
            </w:pPr>
            <w:r>
              <w:rPr>
                <w:rFonts w:cs="Calibri"/>
                <w:color w:val="808080"/>
                <w:sz w:val="16"/>
                <w:szCs w:val="16"/>
              </w:rPr>
              <w:t>5</w:t>
            </w:r>
            <w:r w:rsidRPr="00EA3A8C">
              <w:rPr>
                <w:rFonts w:cs="Calibri"/>
                <w:color w:val="808080"/>
                <w:sz w:val="16"/>
                <w:szCs w:val="16"/>
              </w:rPr>
              <w:t xml:space="preserve"> - </w:t>
            </w:r>
            <w:r w:rsidRPr="00243389">
              <w:rPr>
                <w:rFonts w:cs="Calibri"/>
                <w:color w:val="808080"/>
                <w:sz w:val="16"/>
                <w:szCs w:val="16"/>
              </w:rPr>
              <w:t>forbes.com/sites/maggiemcgrath/2017/11/03/payrolls-rebound-from-hurricane-losses-adding-261000-jobs-in-october/</w:t>
            </w:r>
            <w:r w:rsidRPr="00CA3315">
              <w:rPr>
                <w:rFonts w:cs="Calibri"/>
                <w:color w:val="808080"/>
                <w:sz w:val="16"/>
                <w:szCs w:val="16"/>
              </w:rPr>
              <w:t xml:space="preserve"> </w:t>
            </w:r>
            <w:r w:rsidRPr="00EA3A8C">
              <w:rPr>
                <w:rFonts w:cs="Calibri"/>
                <w:color w:val="808080"/>
                <w:sz w:val="16"/>
                <w:szCs w:val="16"/>
              </w:rPr>
              <w:t>[</w:t>
            </w:r>
            <w:r>
              <w:rPr>
                <w:rFonts w:cs="Calibri"/>
                <w:color w:val="808080"/>
                <w:sz w:val="16"/>
                <w:szCs w:val="16"/>
              </w:rPr>
              <w:t>11/3</w:t>
            </w:r>
            <w:r w:rsidRPr="00EA3A8C">
              <w:rPr>
                <w:rFonts w:cs="Calibri"/>
                <w:color w:val="808080"/>
                <w:sz w:val="16"/>
                <w:szCs w:val="16"/>
              </w:rPr>
              <w:t>/17]</w:t>
            </w:r>
          </w:p>
          <w:p w:rsidR="000E4953" w:rsidRPr="00EA3A8C" w:rsidRDefault="00C4205F" w:rsidP="000E4953">
            <w:pPr>
              <w:pStyle w:val="BodyText"/>
              <w:rPr>
                <w:rFonts w:cs="Calibri"/>
                <w:color w:val="808080"/>
                <w:sz w:val="16"/>
                <w:szCs w:val="16"/>
              </w:rPr>
            </w:pPr>
            <w:r>
              <w:rPr>
                <w:rFonts w:cs="Calibri"/>
                <w:color w:val="808080"/>
                <w:sz w:val="16"/>
                <w:szCs w:val="16"/>
              </w:rPr>
              <w:t>6</w:t>
            </w:r>
            <w:r w:rsidRPr="00EA3A8C">
              <w:rPr>
                <w:rFonts w:cs="Calibri"/>
                <w:color w:val="808080"/>
                <w:sz w:val="16"/>
                <w:szCs w:val="16"/>
              </w:rPr>
              <w:t xml:space="preserve"> - </w:t>
            </w:r>
            <w:r w:rsidRPr="007502C2">
              <w:rPr>
                <w:rFonts w:cs="Calibri"/>
                <w:color w:val="808080"/>
                <w:sz w:val="16"/>
                <w:szCs w:val="16"/>
              </w:rPr>
              <w:t>instituteforsupplymanagement.org/ismreport/mfgrob.cfm?SSO=1</w:t>
            </w:r>
            <w:r w:rsidRPr="00CE624A">
              <w:rPr>
                <w:rFonts w:cs="Calibri"/>
                <w:color w:val="808080"/>
                <w:sz w:val="16"/>
                <w:szCs w:val="16"/>
              </w:rPr>
              <w:t xml:space="preserve"> </w:t>
            </w:r>
            <w:r w:rsidRPr="00EA3A8C">
              <w:rPr>
                <w:rFonts w:cs="Calibri"/>
                <w:color w:val="808080"/>
                <w:sz w:val="16"/>
                <w:szCs w:val="16"/>
              </w:rPr>
              <w:t>[</w:t>
            </w:r>
            <w:r>
              <w:rPr>
                <w:rFonts w:cs="Calibri"/>
                <w:color w:val="808080"/>
                <w:sz w:val="16"/>
                <w:szCs w:val="16"/>
              </w:rPr>
              <w:t>12/1</w:t>
            </w:r>
            <w:r w:rsidRPr="00EA3A8C">
              <w:rPr>
                <w:rFonts w:cs="Calibri"/>
                <w:color w:val="808080"/>
                <w:sz w:val="16"/>
                <w:szCs w:val="16"/>
              </w:rPr>
              <w:t>/17]</w:t>
            </w:r>
          </w:p>
          <w:p w:rsidR="007233D6" w:rsidRDefault="00C4205F" w:rsidP="007233D6">
            <w:pPr>
              <w:widowControl w:val="0"/>
              <w:autoSpaceDE w:val="0"/>
              <w:autoSpaceDN w:val="0"/>
              <w:adjustRightInd w:val="0"/>
              <w:rPr>
                <w:rFonts w:ascii="Georgia" w:hAnsi="Georgia"/>
                <w:color w:val="808080"/>
                <w:sz w:val="16"/>
              </w:rPr>
            </w:pPr>
            <w:r>
              <w:rPr>
                <w:rFonts w:ascii="Georgia" w:hAnsi="Georgia"/>
                <w:color w:val="808080"/>
                <w:sz w:val="16"/>
              </w:rPr>
              <w:t>7</w:t>
            </w:r>
            <w:r w:rsidRPr="007233D6">
              <w:rPr>
                <w:rFonts w:ascii="Georgia" w:hAnsi="Georgia"/>
                <w:color w:val="808080"/>
                <w:sz w:val="16"/>
              </w:rPr>
              <w:t xml:space="preserve"> - </w:t>
            </w:r>
            <w:r w:rsidRPr="007502C2">
              <w:rPr>
                <w:rFonts w:ascii="Georgia" w:hAnsi="Georgia"/>
                <w:color w:val="808080"/>
                <w:sz w:val="16"/>
              </w:rPr>
              <w:t xml:space="preserve">instituteforsupplymanagement.org/ISMReport/NonMfgROB.cfm?navItemNumber=30963&amp;SSO=1 </w:t>
            </w:r>
            <w:r>
              <w:rPr>
                <w:rFonts w:ascii="Georgia" w:hAnsi="Georgia"/>
                <w:color w:val="808080"/>
                <w:sz w:val="16"/>
              </w:rPr>
              <w:t>[11/</w:t>
            </w:r>
            <w:r w:rsidRPr="007233D6">
              <w:rPr>
                <w:rFonts w:ascii="Georgia" w:hAnsi="Georgia"/>
                <w:color w:val="808080"/>
                <w:sz w:val="16"/>
              </w:rPr>
              <w:t xml:space="preserve">3/17]       </w:t>
            </w:r>
          </w:p>
          <w:p w:rsidR="00C1225F" w:rsidRDefault="00C4205F" w:rsidP="007233D6">
            <w:pPr>
              <w:widowControl w:val="0"/>
              <w:autoSpaceDE w:val="0"/>
              <w:autoSpaceDN w:val="0"/>
              <w:adjustRightInd w:val="0"/>
              <w:rPr>
                <w:rFonts w:ascii="Georgia" w:hAnsi="Georgia"/>
                <w:color w:val="808080"/>
                <w:sz w:val="16"/>
              </w:rPr>
            </w:pPr>
            <w:r>
              <w:rPr>
                <w:rFonts w:ascii="Georgia" w:hAnsi="Georgia"/>
                <w:color w:val="808080"/>
                <w:sz w:val="16"/>
              </w:rPr>
              <w:t xml:space="preserve">8 - </w:t>
            </w:r>
            <w:r w:rsidRPr="00426297">
              <w:rPr>
                <w:rFonts w:ascii="Georgia" w:hAnsi="Georgia"/>
                <w:color w:val="808080"/>
                <w:sz w:val="16"/>
              </w:rPr>
              <w:t xml:space="preserve">thestreet.com/story/14404346/1/most-people-with-medicare-part-b-will-pay-higher-premiums-in-2018.html </w:t>
            </w:r>
            <w:r>
              <w:rPr>
                <w:rFonts w:ascii="Georgia" w:hAnsi="Georgia"/>
                <w:color w:val="808080"/>
                <w:sz w:val="16"/>
              </w:rPr>
              <w:t>[11/29/17]</w:t>
            </w:r>
          </w:p>
          <w:p w:rsidR="00245D8E" w:rsidRPr="008626BA" w:rsidRDefault="00C4205F" w:rsidP="005D4165">
            <w:pPr>
              <w:widowControl w:val="0"/>
              <w:autoSpaceDE w:val="0"/>
              <w:autoSpaceDN w:val="0"/>
              <w:adjustRightInd w:val="0"/>
              <w:rPr>
                <w:rFonts w:ascii="Georgia" w:hAnsi="Georgia"/>
                <w:color w:val="808080"/>
                <w:sz w:val="16"/>
              </w:rPr>
            </w:pPr>
            <w:r>
              <w:rPr>
                <w:rFonts w:ascii="Georgia" w:hAnsi="Georgia"/>
                <w:color w:val="808080"/>
                <w:sz w:val="16"/>
              </w:rPr>
              <w:t>9</w:t>
            </w:r>
            <w:r w:rsidRPr="008626BA">
              <w:rPr>
                <w:rFonts w:ascii="Georgia" w:hAnsi="Georgia"/>
                <w:color w:val="808080"/>
                <w:sz w:val="16"/>
              </w:rPr>
              <w:t xml:space="preserve"> - ec.europa.eu/eurostat [</w:t>
            </w:r>
            <w:r>
              <w:rPr>
                <w:rFonts w:ascii="Georgia" w:hAnsi="Georgia"/>
                <w:color w:val="808080"/>
                <w:sz w:val="16"/>
              </w:rPr>
              <w:t>11/30</w:t>
            </w:r>
            <w:r w:rsidRPr="008626BA">
              <w:rPr>
                <w:rFonts w:ascii="Georgia" w:hAnsi="Georgia"/>
                <w:color w:val="808080"/>
                <w:sz w:val="16"/>
              </w:rPr>
              <w:t>/17]</w:t>
            </w:r>
          </w:p>
          <w:p w:rsidR="00492D5C" w:rsidRDefault="00C4205F" w:rsidP="005D4165">
            <w:pPr>
              <w:pStyle w:val="PlainText"/>
              <w:rPr>
                <w:rFonts w:ascii="Georgia" w:hAnsi="Georgia" w:cs="Courier New"/>
                <w:color w:val="808080"/>
                <w:sz w:val="16"/>
                <w:szCs w:val="16"/>
              </w:rPr>
            </w:pPr>
            <w:r>
              <w:rPr>
                <w:rFonts w:ascii="Georgia" w:hAnsi="Georgia" w:cs="Courier New"/>
                <w:color w:val="808080"/>
                <w:sz w:val="16"/>
                <w:szCs w:val="16"/>
              </w:rPr>
              <w:t xml:space="preserve">10 - </w:t>
            </w:r>
            <w:r w:rsidRPr="00355965">
              <w:rPr>
                <w:rFonts w:ascii="Georgia" w:hAnsi="Georgia" w:cs="Courier New"/>
                <w:color w:val="808080"/>
                <w:sz w:val="16"/>
                <w:szCs w:val="16"/>
              </w:rPr>
              <w:t xml:space="preserve">theguardian.com/politics/2017/nov/29/brexit-divorce-bill-how-much-is-it-and-what-is-it-for </w:t>
            </w:r>
            <w:r w:rsidRPr="001B3145">
              <w:rPr>
                <w:rFonts w:ascii="Georgia" w:hAnsi="Georgia" w:cs="Courier New"/>
                <w:color w:val="808080"/>
                <w:sz w:val="16"/>
                <w:szCs w:val="16"/>
              </w:rPr>
              <w:t>[</w:t>
            </w:r>
            <w:r>
              <w:rPr>
                <w:rFonts w:ascii="Georgia" w:hAnsi="Georgia" w:cs="Courier New"/>
                <w:color w:val="808080"/>
                <w:sz w:val="16"/>
                <w:szCs w:val="16"/>
              </w:rPr>
              <w:t>11/29</w:t>
            </w:r>
            <w:r w:rsidRPr="001B3145">
              <w:rPr>
                <w:rFonts w:ascii="Georgia" w:hAnsi="Georgia" w:cs="Courier New"/>
                <w:color w:val="808080"/>
                <w:sz w:val="16"/>
                <w:szCs w:val="16"/>
              </w:rPr>
              <w:t>/17]</w:t>
            </w:r>
          </w:p>
          <w:p w:rsidR="00943B28" w:rsidRDefault="00C4205F" w:rsidP="00943B28">
            <w:pPr>
              <w:pStyle w:val="PlainText"/>
              <w:rPr>
                <w:rFonts w:ascii="Georgia" w:hAnsi="Georgia" w:cs="Courier New"/>
                <w:color w:val="808080"/>
                <w:sz w:val="16"/>
                <w:szCs w:val="16"/>
              </w:rPr>
            </w:pPr>
            <w:r>
              <w:rPr>
                <w:rFonts w:ascii="Georgia" w:hAnsi="Georgia" w:cs="Courier New"/>
                <w:color w:val="808080"/>
                <w:sz w:val="16"/>
                <w:szCs w:val="16"/>
              </w:rPr>
              <w:t xml:space="preserve">11 - </w:t>
            </w:r>
            <w:r w:rsidRPr="00943B28">
              <w:rPr>
                <w:rFonts w:ascii="Georgia" w:hAnsi="Georgia" w:cs="Courier New"/>
                <w:color w:val="808080"/>
                <w:sz w:val="16"/>
                <w:szCs w:val="16"/>
              </w:rPr>
              <w:t xml:space="preserve">reuters.com/article/us-global-economy/global-manufacturing-buoyed-as-focus-shifts-to-rate-hikes-idUSKBN1DV3OC </w:t>
            </w:r>
            <w:r>
              <w:rPr>
                <w:rFonts w:ascii="Georgia" w:hAnsi="Georgia" w:cs="Courier New"/>
                <w:color w:val="808080"/>
                <w:sz w:val="16"/>
                <w:szCs w:val="16"/>
              </w:rPr>
              <w:t>[11/30/17]</w:t>
            </w:r>
          </w:p>
          <w:p w:rsidR="00245D8E" w:rsidRPr="00ED40BF" w:rsidRDefault="00C4205F" w:rsidP="005D4165">
            <w:pPr>
              <w:pStyle w:val="PlainText"/>
              <w:rPr>
                <w:rFonts w:ascii="Georgia" w:hAnsi="Georgia" w:cs="Courier New"/>
                <w:color w:val="808080"/>
                <w:sz w:val="16"/>
                <w:szCs w:val="16"/>
              </w:rPr>
            </w:pPr>
            <w:r>
              <w:rPr>
                <w:rFonts w:ascii="Georgia" w:hAnsi="Georgia" w:cs="Courier New"/>
                <w:color w:val="808080"/>
                <w:sz w:val="16"/>
                <w:szCs w:val="16"/>
              </w:rPr>
              <w:t>12</w:t>
            </w:r>
            <w:r w:rsidRPr="00FA04D3">
              <w:rPr>
                <w:rFonts w:ascii="Georgia" w:hAnsi="Georgia" w:cs="Courier New"/>
                <w:color w:val="808080"/>
                <w:sz w:val="16"/>
                <w:szCs w:val="16"/>
              </w:rPr>
              <w:t xml:space="preserve"> - markets.on.nytimes.com/research/markets/worldmarkets/worldmarkets.asp [</w:t>
            </w:r>
            <w:r>
              <w:rPr>
                <w:rFonts w:ascii="Georgia" w:hAnsi="Georgia" w:cs="Courier New"/>
                <w:color w:val="808080"/>
                <w:sz w:val="16"/>
                <w:szCs w:val="16"/>
              </w:rPr>
              <w:t>11/30/17</w:t>
            </w:r>
            <w:r w:rsidRPr="00FA04D3">
              <w:rPr>
                <w:rFonts w:ascii="Georgia" w:hAnsi="Georgia" w:cs="Courier New"/>
                <w:color w:val="808080"/>
                <w:sz w:val="16"/>
                <w:szCs w:val="16"/>
              </w:rPr>
              <w:t>]</w:t>
            </w:r>
          </w:p>
          <w:p w:rsidR="00245D8E" w:rsidRDefault="00C4205F" w:rsidP="005D4165">
            <w:pPr>
              <w:widowControl w:val="0"/>
              <w:autoSpaceDE w:val="0"/>
              <w:autoSpaceDN w:val="0"/>
              <w:adjustRightInd w:val="0"/>
              <w:rPr>
                <w:rFonts w:ascii="Georgia" w:hAnsi="Georgia"/>
                <w:color w:val="808080"/>
                <w:sz w:val="16"/>
              </w:rPr>
            </w:pPr>
            <w:r>
              <w:rPr>
                <w:rFonts w:ascii="Georgia" w:hAnsi="Georgia"/>
                <w:color w:val="808080"/>
                <w:sz w:val="16"/>
              </w:rPr>
              <w:t>13</w:t>
            </w:r>
            <w:r w:rsidRPr="006C5296">
              <w:rPr>
                <w:rFonts w:ascii="Georgia" w:hAnsi="Georgia"/>
                <w:color w:val="808080"/>
                <w:sz w:val="16"/>
                <w:szCs w:val="16"/>
              </w:rPr>
              <w:t xml:space="preserve"> </w:t>
            </w:r>
            <w:r w:rsidRPr="006C5296">
              <w:rPr>
                <w:rFonts w:ascii="Georgia" w:hAnsi="Georgia"/>
                <w:color w:val="808080"/>
                <w:sz w:val="16"/>
              </w:rPr>
              <w:t xml:space="preserve">- </w:t>
            </w:r>
            <w:r w:rsidRPr="00E80EEF">
              <w:rPr>
                <w:rFonts w:ascii="Georgia" w:hAnsi="Georgia"/>
                <w:color w:val="808080"/>
                <w:sz w:val="16"/>
              </w:rPr>
              <w:t>msci.com/end-of-day-data-search</w:t>
            </w:r>
            <w:r w:rsidRPr="006C5296">
              <w:rPr>
                <w:rFonts w:ascii="Georgia" w:hAnsi="Georgia"/>
                <w:color w:val="808080"/>
                <w:sz w:val="16"/>
              </w:rPr>
              <w:t xml:space="preserve"> [</w:t>
            </w:r>
            <w:r>
              <w:rPr>
                <w:rFonts w:ascii="Georgia" w:hAnsi="Georgia"/>
                <w:color w:val="808080"/>
                <w:sz w:val="16"/>
              </w:rPr>
              <w:t>11/30/17</w:t>
            </w:r>
            <w:r w:rsidRPr="006C5296">
              <w:rPr>
                <w:rFonts w:ascii="Georgia" w:hAnsi="Georgia"/>
                <w:color w:val="808080"/>
                <w:sz w:val="16"/>
              </w:rPr>
              <w:t>]</w:t>
            </w:r>
          </w:p>
          <w:p w:rsidR="00245D8E" w:rsidRDefault="00C4205F" w:rsidP="005D4165">
            <w:pPr>
              <w:rPr>
                <w:rFonts w:ascii="Georgia" w:hAnsi="Georgia" w:cs="Arial"/>
                <w:color w:val="808080"/>
                <w:sz w:val="16"/>
              </w:rPr>
            </w:pPr>
            <w:r>
              <w:rPr>
                <w:rFonts w:ascii="Georgia" w:hAnsi="Georgia" w:cs="Arial"/>
                <w:color w:val="808080"/>
                <w:sz w:val="16"/>
              </w:rPr>
              <w:t>14</w:t>
            </w:r>
            <w:r w:rsidRPr="006C5296">
              <w:rPr>
                <w:rFonts w:ascii="Georgia" w:hAnsi="Georgia" w:cs="Arial"/>
                <w:color w:val="808080"/>
                <w:sz w:val="16"/>
              </w:rPr>
              <w:t xml:space="preserve"> - money.cnn.com/data/com</w:t>
            </w:r>
            <w:r>
              <w:rPr>
                <w:rFonts w:ascii="Georgia" w:hAnsi="Georgia" w:cs="Arial"/>
                <w:color w:val="808080"/>
                <w:sz w:val="16"/>
              </w:rPr>
              <w:t>modities/ [11/30/17</w:t>
            </w:r>
            <w:r w:rsidRPr="00DB4FF7">
              <w:rPr>
                <w:rFonts w:ascii="Georgia" w:hAnsi="Georgia" w:cs="Arial"/>
                <w:color w:val="808080"/>
                <w:sz w:val="16"/>
              </w:rPr>
              <w:t>]</w:t>
            </w:r>
            <w:r>
              <w:rPr>
                <w:rFonts w:ascii="Georgia" w:hAnsi="Georgia" w:cs="Arial"/>
                <w:color w:val="808080"/>
                <w:sz w:val="16"/>
              </w:rPr>
              <w:t xml:space="preserve"> </w:t>
            </w:r>
          </w:p>
          <w:p w:rsidR="00F63A60" w:rsidRDefault="00C4205F" w:rsidP="005D4165">
            <w:pPr>
              <w:rPr>
                <w:rFonts w:ascii="Georgia" w:hAnsi="Georgia"/>
                <w:color w:val="808080"/>
                <w:sz w:val="16"/>
                <w:szCs w:val="16"/>
              </w:rPr>
            </w:pPr>
            <w:r>
              <w:rPr>
                <w:rFonts w:ascii="Georgia" w:hAnsi="Georgia"/>
                <w:color w:val="808080"/>
                <w:sz w:val="16"/>
                <w:szCs w:val="16"/>
              </w:rPr>
              <w:t xml:space="preserve">15 - </w:t>
            </w:r>
            <w:r w:rsidRPr="00F63A60">
              <w:rPr>
                <w:rFonts w:ascii="Georgia" w:hAnsi="Georgia"/>
                <w:color w:val="808080"/>
                <w:sz w:val="16"/>
                <w:szCs w:val="16"/>
              </w:rPr>
              <w:t>marketwatch.com/investing/index/dxy/historical</w:t>
            </w:r>
            <w:r>
              <w:rPr>
                <w:rFonts w:ascii="Georgia" w:hAnsi="Georgia"/>
                <w:color w:val="808080"/>
                <w:sz w:val="16"/>
                <w:szCs w:val="16"/>
              </w:rPr>
              <w:t xml:space="preserve"> [12/1/17]</w:t>
            </w:r>
          </w:p>
          <w:p w:rsidR="00FE7013" w:rsidRDefault="00C4205F" w:rsidP="005D4165">
            <w:pPr>
              <w:rPr>
                <w:rFonts w:ascii="Georgia" w:hAnsi="Georgia"/>
                <w:color w:val="808080"/>
                <w:sz w:val="16"/>
                <w:szCs w:val="16"/>
              </w:rPr>
            </w:pPr>
            <w:r>
              <w:rPr>
                <w:rFonts w:ascii="Georgia" w:hAnsi="Georgia"/>
                <w:color w:val="808080"/>
                <w:sz w:val="16"/>
                <w:szCs w:val="16"/>
              </w:rPr>
              <w:t xml:space="preserve">16 - </w:t>
            </w:r>
            <w:r w:rsidRPr="00FE7013">
              <w:rPr>
                <w:rFonts w:ascii="Georgia" w:hAnsi="Georgia"/>
                <w:color w:val="808080"/>
                <w:sz w:val="16"/>
                <w:szCs w:val="16"/>
              </w:rPr>
              <w:t>thehill.com/policy/finance/361445-existing-home-sales-increased-2-percent-in-october</w:t>
            </w:r>
            <w:r>
              <w:rPr>
                <w:rFonts w:ascii="Georgia" w:hAnsi="Georgia"/>
                <w:color w:val="808080"/>
                <w:sz w:val="16"/>
                <w:szCs w:val="16"/>
              </w:rPr>
              <w:t xml:space="preserve"> [11/21/17]</w:t>
            </w:r>
          </w:p>
          <w:p w:rsidR="00245D8E" w:rsidRDefault="00C4205F" w:rsidP="005D4165">
            <w:pPr>
              <w:rPr>
                <w:rFonts w:ascii="Georgia" w:hAnsi="Georgia"/>
                <w:color w:val="808080"/>
                <w:sz w:val="16"/>
                <w:szCs w:val="16"/>
              </w:rPr>
            </w:pPr>
            <w:r>
              <w:rPr>
                <w:rFonts w:ascii="Georgia" w:hAnsi="Georgia"/>
                <w:color w:val="808080"/>
                <w:sz w:val="16"/>
                <w:szCs w:val="16"/>
              </w:rPr>
              <w:t xml:space="preserve">17 - </w:t>
            </w:r>
            <w:r w:rsidRPr="00E15F67">
              <w:rPr>
                <w:rFonts w:ascii="Georgia" w:hAnsi="Georgia"/>
                <w:color w:val="808080"/>
                <w:sz w:val="16"/>
                <w:szCs w:val="16"/>
              </w:rPr>
              <w:t xml:space="preserve">freddiemac.com/pmms/archive.html?year=2017 </w:t>
            </w:r>
            <w:r>
              <w:rPr>
                <w:rFonts w:ascii="Georgia" w:hAnsi="Georgia"/>
                <w:color w:val="808080"/>
                <w:sz w:val="16"/>
                <w:szCs w:val="16"/>
              </w:rPr>
              <w:t>[11/30/17]</w:t>
            </w:r>
          </w:p>
          <w:p w:rsidR="003D5040" w:rsidRPr="003D5040" w:rsidRDefault="00C4205F" w:rsidP="003D5040">
            <w:pPr>
              <w:rPr>
                <w:rFonts w:ascii="Georgia" w:hAnsi="Georgia" w:cs="Calibri"/>
                <w:color w:val="808080" w:themeColor="background1" w:themeShade="80"/>
                <w:sz w:val="16"/>
                <w:szCs w:val="18"/>
              </w:rPr>
            </w:pPr>
            <w:r>
              <w:rPr>
                <w:rFonts w:ascii="Georgia" w:hAnsi="Georgia"/>
                <w:noProof/>
                <w:color w:val="808080" w:themeColor="background1" w:themeShade="80"/>
                <w:sz w:val="16"/>
                <w:szCs w:val="18"/>
              </w:rPr>
              <w:t>18</w:t>
            </w:r>
            <w:r w:rsidRPr="003D5040">
              <w:rPr>
                <w:rFonts w:ascii="Georgia" w:hAnsi="Georgia"/>
                <w:noProof/>
                <w:color w:val="808080" w:themeColor="background1" w:themeShade="80"/>
                <w:sz w:val="16"/>
                <w:szCs w:val="18"/>
              </w:rPr>
              <w:t xml:space="preserve"> - </w:t>
            </w:r>
            <w:r w:rsidRPr="003D5040">
              <w:rPr>
                <w:rFonts w:ascii="Georgia" w:hAnsi="Georgia" w:cs="Calibri"/>
                <w:color w:val="808080" w:themeColor="background1" w:themeShade="80"/>
                <w:sz w:val="16"/>
                <w:szCs w:val="18"/>
              </w:rPr>
              <w:t>money.cnn.com/quote/quote.html?symb=VIX</w:t>
            </w:r>
            <w:r>
              <w:rPr>
                <w:rFonts w:ascii="Georgia" w:hAnsi="Georgia" w:cs="Calibri"/>
                <w:color w:val="808080" w:themeColor="background1" w:themeShade="80"/>
                <w:sz w:val="16"/>
                <w:szCs w:val="18"/>
              </w:rPr>
              <w:t xml:space="preserve"> [11/30/17]</w:t>
            </w:r>
          </w:p>
          <w:p w:rsidR="00937B77" w:rsidRPr="00937B77" w:rsidRDefault="00C4205F" w:rsidP="00937B77">
            <w:pPr>
              <w:rPr>
                <w:rFonts w:ascii="Georgia" w:hAnsi="Georgia" w:cs="Calibri"/>
                <w:color w:val="808080" w:themeColor="background1" w:themeShade="80"/>
                <w:sz w:val="16"/>
                <w:szCs w:val="16"/>
              </w:rPr>
            </w:pPr>
            <w:r>
              <w:rPr>
                <w:rFonts w:ascii="Georgia" w:hAnsi="Georgia" w:cs="Calibri"/>
                <w:color w:val="808080" w:themeColor="background1" w:themeShade="80"/>
                <w:sz w:val="16"/>
                <w:szCs w:val="16"/>
              </w:rPr>
              <w:t>19</w:t>
            </w:r>
            <w:r w:rsidRPr="00937B77">
              <w:rPr>
                <w:rFonts w:ascii="Georgia" w:hAnsi="Georgia" w:cs="Calibri"/>
                <w:color w:val="808080" w:themeColor="background1" w:themeShade="80"/>
                <w:sz w:val="16"/>
                <w:szCs w:val="16"/>
              </w:rPr>
              <w:t xml:space="preserve"> - finance.google.com/finance?q=INDEXSP%3A.INX&amp;ei=6JcgWoKgH4GG2Ab8_LzoDA [11/30/17]</w:t>
            </w:r>
          </w:p>
          <w:p w:rsidR="003D5040" w:rsidRDefault="00C4205F" w:rsidP="003D5040">
            <w:pPr>
              <w:rPr>
                <w:rFonts w:ascii="Georgia" w:hAnsi="Georgia" w:cs="Arial"/>
                <w:color w:val="808080"/>
                <w:sz w:val="16"/>
              </w:rPr>
            </w:pPr>
            <w:r>
              <w:rPr>
                <w:rFonts w:ascii="Georgia" w:hAnsi="Georgia" w:cs="Arial"/>
                <w:color w:val="808080"/>
                <w:sz w:val="16"/>
              </w:rPr>
              <w:t xml:space="preserve">20 - </w:t>
            </w:r>
            <w:r w:rsidRPr="003D5040">
              <w:rPr>
                <w:rFonts w:ascii="Georgia" w:hAnsi="Georgia" w:cs="Arial"/>
                <w:color w:val="808080"/>
                <w:sz w:val="16"/>
              </w:rPr>
              <w:t>barrons.com/mdc/public/page/9_3022-usclosingstk.html?mod=bol_topnav_9_3000</w:t>
            </w:r>
            <w:r>
              <w:rPr>
                <w:rFonts w:ascii="Georgia" w:hAnsi="Georgia" w:cs="Arial"/>
                <w:color w:val="808080"/>
                <w:sz w:val="16"/>
              </w:rPr>
              <w:t xml:space="preserve"> [11/30/17]</w:t>
            </w:r>
          </w:p>
          <w:p w:rsidR="00937B77" w:rsidRDefault="00C4205F" w:rsidP="00937B77">
            <w:pPr>
              <w:rPr>
                <w:rFonts w:ascii="Georgia" w:hAnsi="Georgia" w:cs="Arial"/>
                <w:color w:val="808080"/>
                <w:sz w:val="16"/>
              </w:rPr>
            </w:pPr>
            <w:r>
              <w:rPr>
                <w:rFonts w:ascii="Georgia" w:hAnsi="Georgia" w:cs="Arial"/>
                <w:color w:val="808080"/>
                <w:sz w:val="16"/>
              </w:rPr>
              <w:t xml:space="preserve">21 - </w:t>
            </w:r>
            <w:r w:rsidRPr="003D5040">
              <w:rPr>
                <w:rFonts w:ascii="Georgia" w:hAnsi="Georgia" w:cs="Arial"/>
                <w:color w:val="808080"/>
                <w:sz w:val="16"/>
              </w:rPr>
              <w:t>finance.google.com/finance?q=INDEXSP%3A.INX&amp;ei=OZIhWqHyDtGP2AbtzJ6ABA</w:t>
            </w:r>
            <w:r>
              <w:rPr>
                <w:rFonts w:ascii="Georgia" w:hAnsi="Georgia" w:cs="Arial"/>
                <w:color w:val="808080"/>
                <w:sz w:val="16"/>
              </w:rPr>
              <w:t xml:space="preserve"> [11/30/17]</w:t>
            </w:r>
          </w:p>
          <w:p w:rsidR="004B5DAC" w:rsidRDefault="00C4205F" w:rsidP="004B5DAC">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w:t>
            </w:r>
            <w:r>
              <w:rPr>
                <w:rFonts w:ascii="Georgia" w:hAnsi="Georgia" w:cs="Arial"/>
                <w:color w:val="808080"/>
                <w:sz w:val="16"/>
              </w:rPr>
              <w:t>/historical/default.asp?symb=DJIA</w:t>
            </w:r>
            <w:r w:rsidRPr="004969F2">
              <w:rPr>
                <w:rFonts w:ascii="Georgia" w:hAnsi="Georgia" w:cs="Arial"/>
                <w:color w:val="808080"/>
                <w:sz w:val="16"/>
              </w:rPr>
              <w:t>&amp;closeDate=</w:t>
            </w:r>
            <w:r>
              <w:rPr>
                <w:rFonts w:ascii="Georgia" w:hAnsi="Georgia" w:cs="Arial"/>
                <w:color w:val="808080"/>
                <w:sz w:val="16"/>
              </w:rPr>
              <w:t>11%2F30%</w:t>
            </w:r>
            <w:r w:rsidRPr="004969F2">
              <w:rPr>
                <w:rFonts w:ascii="Georgia" w:hAnsi="Georgia" w:cs="Arial"/>
                <w:color w:val="808080"/>
                <w:sz w:val="16"/>
              </w:rPr>
              <w:t>2F16&amp;x=0&amp;y=0</w:t>
            </w:r>
            <w:r w:rsidRPr="0074762D">
              <w:rPr>
                <w:rFonts w:ascii="Georgia" w:hAnsi="Georgia" w:cs="Arial"/>
                <w:color w:val="808080"/>
                <w:sz w:val="16"/>
              </w:rPr>
              <w:t xml:space="preserve"> [</w:t>
            </w:r>
            <w:r>
              <w:rPr>
                <w:rFonts w:ascii="Georgia" w:hAnsi="Georgia" w:cs="Arial"/>
                <w:color w:val="808080"/>
                <w:sz w:val="16"/>
              </w:rPr>
              <w:t>11/30/17</w:t>
            </w:r>
            <w:r w:rsidRPr="0074762D">
              <w:rPr>
                <w:rFonts w:ascii="Georgia" w:hAnsi="Georgia" w:cs="Arial"/>
                <w:color w:val="808080"/>
                <w:sz w:val="16"/>
              </w:rPr>
              <w:t>]</w:t>
            </w:r>
          </w:p>
          <w:p w:rsidR="004B5DAC" w:rsidRPr="0074762D" w:rsidRDefault="00C4205F" w:rsidP="004B5DAC">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w:t>
            </w:r>
            <w:r>
              <w:rPr>
                <w:rFonts w:ascii="Georgia" w:hAnsi="Georgia" w:cs="Arial"/>
                <w:color w:val="808080"/>
                <w:sz w:val="16"/>
              </w:rPr>
              <w:t>/historical/default.asp?symb=COMP</w:t>
            </w:r>
            <w:r w:rsidRPr="004969F2">
              <w:rPr>
                <w:rFonts w:ascii="Georgia" w:hAnsi="Georgia" w:cs="Arial"/>
                <w:color w:val="808080"/>
                <w:sz w:val="16"/>
              </w:rPr>
              <w:t>&amp;closeDate=</w:t>
            </w:r>
            <w:r>
              <w:rPr>
                <w:rFonts w:ascii="Georgia" w:hAnsi="Georgia" w:cs="Arial"/>
                <w:color w:val="808080"/>
                <w:sz w:val="16"/>
              </w:rPr>
              <w:t>11%2F30%</w:t>
            </w:r>
            <w:r w:rsidRPr="004969F2">
              <w:rPr>
                <w:rFonts w:ascii="Georgia" w:hAnsi="Georgia" w:cs="Arial"/>
                <w:color w:val="808080"/>
                <w:sz w:val="16"/>
              </w:rPr>
              <w:t>2F16&amp;x=0&amp;y=0</w:t>
            </w:r>
            <w:r w:rsidRPr="0074762D">
              <w:rPr>
                <w:rFonts w:ascii="Georgia" w:hAnsi="Georgia" w:cs="Arial"/>
                <w:color w:val="808080"/>
                <w:sz w:val="16"/>
              </w:rPr>
              <w:t xml:space="preserve"> [</w:t>
            </w:r>
            <w:r>
              <w:rPr>
                <w:rFonts w:ascii="Georgia" w:hAnsi="Georgia" w:cs="Arial"/>
                <w:color w:val="808080"/>
                <w:sz w:val="16"/>
              </w:rPr>
              <w:t>11/30/17</w:t>
            </w:r>
            <w:r w:rsidRPr="0074762D">
              <w:rPr>
                <w:rFonts w:ascii="Georgia" w:hAnsi="Georgia" w:cs="Arial"/>
                <w:color w:val="808080"/>
                <w:sz w:val="16"/>
              </w:rPr>
              <w:t>]</w:t>
            </w:r>
          </w:p>
          <w:p w:rsidR="004B5DAC" w:rsidRDefault="00C4205F" w:rsidP="004B5DAC">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arketwatch.com/historical/default.asp?symb=SPX&amp;closeDate=</w:t>
            </w:r>
            <w:r>
              <w:rPr>
                <w:rFonts w:ascii="Georgia" w:hAnsi="Georgia" w:cs="Arial"/>
                <w:color w:val="808080"/>
                <w:sz w:val="16"/>
              </w:rPr>
              <w:t>11%2F30%</w:t>
            </w:r>
            <w:r w:rsidRPr="004969F2">
              <w:rPr>
                <w:rFonts w:ascii="Georgia" w:hAnsi="Georgia" w:cs="Arial"/>
                <w:color w:val="808080"/>
                <w:sz w:val="16"/>
              </w:rPr>
              <w:t xml:space="preserve">2F16&amp;x=0&amp;y=0 </w:t>
            </w:r>
            <w:r w:rsidRPr="0074762D">
              <w:rPr>
                <w:rFonts w:ascii="Georgia" w:hAnsi="Georgia" w:cs="Arial"/>
                <w:color w:val="808080"/>
                <w:sz w:val="16"/>
              </w:rPr>
              <w:t>[</w:t>
            </w:r>
            <w:r>
              <w:rPr>
                <w:rFonts w:ascii="Georgia" w:hAnsi="Georgia" w:cs="Arial"/>
                <w:color w:val="808080"/>
                <w:sz w:val="16"/>
              </w:rPr>
              <w:t>11/30/17</w:t>
            </w:r>
            <w:r w:rsidRPr="0074762D">
              <w:rPr>
                <w:rFonts w:ascii="Georgia" w:hAnsi="Georgia" w:cs="Arial"/>
                <w:color w:val="808080"/>
                <w:sz w:val="16"/>
              </w:rPr>
              <w:t>]</w:t>
            </w:r>
          </w:p>
          <w:p w:rsidR="004B5DAC" w:rsidRPr="0074762D" w:rsidRDefault="00C4205F" w:rsidP="004B5DAC">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w:t>
            </w:r>
            <w:r>
              <w:rPr>
                <w:rFonts w:ascii="Georgia" w:hAnsi="Georgia" w:cs="Arial"/>
                <w:color w:val="808080"/>
                <w:sz w:val="16"/>
              </w:rPr>
              <w:t>DJIA</w:t>
            </w:r>
            <w:r w:rsidRPr="004969F2">
              <w:rPr>
                <w:rFonts w:ascii="Georgia" w:hAnsi="Georgia" w:cs="Arial"/>
                <w:color w:val="808080"/>
                <w:sz w:val="16"/>
              </w:rPr>
              <w:t>&amp;closeDate=</w:t>
            </w:r>
            <w:r>
              <w:rPr>
                <w:rFonts w:ascii="Georgia" w:hAnsi="Georgia" w:cs="Arial"/>
                <w:color w:val="808080"/>
                <w:sz w:val="16"/>
              </w:rPr>
              <w:t>11%2F30%</w:t>
            </w:r>
            <w:r w:rsidRPr="004969F2">
              <w:rPr>
                <w:rFonts w:ascii="Georgia" w:hAnsi="Georgia" w:cs="Arial"/>
                <w:color w:val="808080"/>
                <w:sz w:val="16"/>
              </w:rPr>
              <w:t>2F12&amp;x=0&amp;y=0</w:t>
            </w:r>
            <w:r w:rsidRPr="0074762D">
              <w:rPr>
                <w:rFonts w:ascii="Georgia" w:hAnsi="Georgia" w:cs="Arial"/>
                <w:color w:val="808080"/>
                <w:sz w:val="16"/>
              </w:rPr>
              <w:t xml:space="preserve"> [</w:t>
            </w:r>
            <w:r>
              <w:rPr>
                <w:rFonts w:ascii="Georgia" w:hAnsi="Georgia" w:cs="Arial"/>
                <w:color w:val="808080"/>
                <w:sz w:val="16"/>
              </w:rPr>
              <w:t>11/30/17</w:t>
            </w:r>
            <w:r w:rsidRPr="0074762D">
              <w:rPr>
                <w:rFonts w:ascii="Georgia" w:hAnsi="Georgia" w:cs="Arial"/>
                <w:color w:val="808080"/>
                <w:sz w:val="16"/>
              </w:rPr>
              <w:t>]</w:t>
            </w:r>
          </w:p>
          <w:p w:rsidR="004B5DAC" w:rsidRPr="0074762D" w:rsidRDefault="00C4205F" w:rsidP="004B5DAC">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w:t>
            </w:r>
            <w:r>
              <w:rPr>
                <w:rFonts w:ascii="Georgia" w:hAnsi="Georgia" w:cs="Arial"/>
                <w:color w:val="808080"/>
                <w:sz w:val="16"/>
              </w:rPr>
              <w:t>COMP</w:t>
            </w:r>
            <w:r w:rsidRPr="004969F2">
              <w:rPr>
                <w:rFonts w:ascii="Georgia" w:hAnsi="Georgia" w:cs="Arial"/>
                <w:color w:val="808080"/>
                <w:sz w:val="16"/>
              </w:rPr>
              <w:t>&amp;closeDate=</w:t>
            </w:r>
            <w:r>
              <w:rPr>
                <w:rFonts w:ascii="Georgia" w:hAnsi="Georgia" w:cs="Arial"/>
                <w:color w:val="808080"/>
                <w:sz w:val="16"/>
              </w:rPr>
              <w:t>11%2F30%</w:t>
            </w:r>
            <w:r w:rsidRPr="004969F2">
              <w:rPr>
                <w:rFonts w:ascii="Georgia" w:hAnsi="Georgia" w:cs="Arial"/>
                <w:color w:val="808080"/>
                <w:sz w:val="16"/>
              </w:rPr>
              <w:t>2F12&amp;x=0&amp;y=0</w:t>
            </w:r>
            <w:r w:rsidRPr="0074762D">
              <w:rPr>
                <w:rFonts w:ascii="Georgia" w:hAnsi="Georgia" w:cs="Arial"/>
                <w:color w:val="808080"/>
                <w:sz w:val="16"/>
              </w:rPr>
              <w:t xml:space="preserve"> [</w:t>
            </w:r>
            <w:r>
              <w:rPr>
                <w:rFonts w:ascii="Georgia" w:hAnsi="Georgia" w:cs="Arial"/>
                <w:color w:val="808080"/>
                <w:sz w:val="16"/>
              </w:rPr>
              <w:t>11/30/17</w:t>
            </w:r>
            <w:r w:rsidRPr="0074762D">
              <w:rPr>
                <w:rFonts w:ascii="Georgia" w:hAnsi="Georgia" w:cs="Arial"/>
                <w:color w:val="808080"/>
                <w:sz w:val="16"/>
              </w:rPr>
              <w:t>]</w:t>
            </w:r>
          </w:p>
          <w:p w:rsidR="004B5DAC" w:rsidRDefault="00C4205F" w:rsidP="004B5DAC">
            <w:pPr>
              <w:rPr>
                <w:rFonts w:ascii="Georgia" w:hAnsi="Georgia" w:cs="Arial"/>
                <w:color w:val="808080"/>
                <w:sz w:val="16"/>
              </w:rPr>
            </w:pPr>
            <w:r>
              <w:rPr>
                <w:rFonts w:ascii="Georgia" w:hAnsi="Georgia" w:cs="Arial"/>
                <w:color w:val="808080"/>
                <w:sz w:val="16"/>
              </w:rPr>
              <w:t>22 - bigcharts.m</w:t>
            </w:r>
            <w:r w:rsidRPr="004969F2">
              <w:rPr>
                <w:rFonts w:ascii="Georgia" w:hAnsi="Georgia" w:cs="Arial"/>
                <w:color w:val="808080"/>
                <w:sz w:val="16"/>
              </w:rPr>
              <w:t>arketwatch.com/historical/default.asp?symb=SPX&amp;closeDate=</w:t>
            </w:r>
            <w:r>
              <w:rPr>
                <w:rFonts w:ascii="Georgia" w:hAnsi="Georgia" w:cs="Arial"/>
                <w:color w:val="808080"/>
                <w:sz w:val="16"/>
              </w:rPr>
              <w:t>11%2F30%</w:t>
            </w:r>
            <w:r w:rsidRPr="004969F2">
              <w:rPr>
                <w:rFonts w:ascii="Georgia" w:hAnsi="Georgia" w:cs="Arial"/>
                <w:color w:val="808080"/>
                <w:sz w:val="16"/>
              </w:rPr>
              <w:t xml:space="preserve">2F12&amp;x=0&amp;y=0 </w:t>
            </w:r>
            <w:r w:rsidRPr="0074762D">
              <w:rPr>
                <w:rFonts w:ascii="Georgia" w:hAnsi="Georgia" w:cs="Arial"/>
                <w:color w:val="808080"/>
                <w:sz w:val="16"/>
              </w:rPr>
              <w:t>[</w:t>
            </w:r>
            <w:r>
              <w:rPr>
                <w:rFonts w:ascii="Georgia" w:hAnsi="Georgia" w:cs="Arial"/>
                <w:color w:val="808080"/>
                <w:sz w:val="16"/>
              </w:rPr>
              <w:t>11/30/17</w:t>
            </w:r>
            <w:r w:rsidRPr="0074762D">
              <w:rPr>
                <w:rFonts w:ascii="Georgia" w:hAnsi="Georgia" w:cs="Arial"/>
                <w:color w:val="808080"/>
                <w:sz w:val="16"/>
              </w:rPr>
              <w:t>]</w:t>
            </w:r>
          </w:p>
          <w:p w:rsidR="004B5DAC" w:rsidRPr="0074762D" w:rsidRDefault="00C4205F" w:rsidP="004B5DAC">
            <w:pPr>
              <w:rPr>
                <w:rFonts w:ascii="Georgia" w:hAnsi="Georgia" w:cs="Arial"/>
                <w:color w:val="808080"/>
                <w:sz w:val="16"/>
              </w:rPr>
            </w:pPr>
            <w:r>
              <w:rPr>
                <w:rFonts w:ascii="Georgia" w:hAnsi="Georgia" w:cs="Arial"/>
                <w:color w:val="808080"/>
                <w:sz w:val="16"/>
              </w:rPr>
              <w:t>22 - bigcharts.m</w:t>
            </w:r>
            <w:r w:rsidRPr="00161A75">
              <w:rPr>
                <w:rFonts w:ascii="Georgia" w:hAnsi="Georgia" w:cs="Arial"/>
                <w:color w:val="808080"/>
                <w:sz w:val="16"/>
              </w:rPr>
              <w:t>arketwatch.com</w:t>
            </w:r>
            <w:r>
              <w:rPr>
                <w:rFonts w:ascii="Georgia" w:hAnsi="Georgia" w:cs="Arial"/>
                <w:color w:val="808080"/>
                <w:sz w:val="16"/>
              </w:rPr>
              <w:t>/historical/default.asp?symb=DJIA</w:t>
            </w:r>
            <w:r w:rsidRPr="00161A75">
              <w:rPr>
                <w:rFonts w:ascii="Georgia" w:hAnsi="Georgia" w:cs="Arial"/>
                <w:color w:val="808080"/>
                <w:sz w:val="16"/>
              </w:rPr>
              <w:t>&amp;closeDate=</w:t>
            </w:r>
            <w:r>
              <w:rPr>
                <w:rFonts w:ascii="Georgia" w:hAnsi="Georgia" w:cs="Arial"/>
                <w:color w:val="808080"/>
                <w:sz w:val="16"/>
              </w:rPr>
              <w:t>11%2F30%</w:t>
            </w:r>
            <w:r w:rsidRPr="00161A75">
              <w:rPr>
                <w:rFonts w:ascii="Georgia" w:hAnsi="Georgia" w:cs="Arial"/>
                <w:color w:val="808080"/>
                <w:sz w:val="16"/>
              </w:rPr>
              <w:t xml:space="preserve">2F07&amp;x=0&amp;y=0 </w:t>
            </w:r>
            <w:r w:rsidRPr="0074762D">
              <w:rPr>
                <w:rFonts w:ascii="Georgia" w:hAnsi="Georgia" w:cs="Arial"/>
                <w:color w:val="808080"/>
                <w:sz w:val="16"/>
              </w:rPr>
              <w:t>[</w:t>
            </w:r>
            <w:r>
              <w:rPr>
                <w:rFonts w:ascii="Georgia" w:hAnsi="Georgia" w:cs="Arial"/>
                <w:color w:val="808080"/>
                <w:sz w:val="16"/>
              </w:rPr>
              <w:t>11/30/17</w:t>
            </w:r>
            <w:r w:rsidRPr="0074762D">
              <w:rPr>
                <w:rFonts w:ascii="Georgia" w:hAnsi="Georgia" w:cs="Arial"/>
                <w:color w:val="808080"/>
                <w:sz w:val="16"/>
              </w:rPr>
              <w:t>]</w:t>
            </w:r>
          </w:p>
          <w:p w:rsidR="004B5DAC" w:rsidRPr="0074762D" w:rsidRDefault="00C4205F" w:rsidP="0030374F">
            <w:pPr>
              <w:rPr>
                <w:rFonts w:ascii="Georgia" w:hAnsi="Georgia" w:cs="Arial"/>
                <w:color w:val="808080"/>
                <w:sz w:val="16"/>
              </w:rPr>
            </w:pPr>
            <w:r>
              <w:rPr>
                <w:rFonts w:ascii="Georgia" w:hAnsi="Georgia" w:cs="Arial"/>
                <w:color w:val="808080"/>
                <w:sz w:val="16"/>
              </w:rPr>
              <w:t>22 - bigcharts.m</w:t>
            </w:r>
            <w:r w:rsidRPr="00161A75">
              <w:rPr>
                <w:rFonts w:ascii="Georgia" w:hAnsi="Georgia" w:cs="Arial"/>
                <w:color w:val="808080"/>
                <w:sz w:val="16"/>
              </w:rPr>
              <w:t>arketwatch.com</w:t>
            </w:r>
            <w:r>
              <w:rPr>
                <w:rFonts w:ascii="Georgia" w:hAnsi="Georgia" w:cs="Arial"/>
                <w:color w:val="808080"/>
                <w:sz w:val="16"/>
              </w:rPr>
              <w:t>/historical/default.asp?symb=COMP</w:t>
            </w:r>
            <w:r w:rsidRPr="00161A75">
              <w:rPr>
                <w:rFonts w:ascii="Georgia" w:hAnsi="Georgia" w:cs="Arial"/>
                <w:color w:val="808080"/>
                <w:sz w:val="16"/>
              </w:rPr>
              <w:t>&amp;closeDate=</w:t>
            </w:r>
            <w:r>
              <w:rPr>
                <w:rFonts w:ascii="Georgia" w:hAnsi="Georgia" w:cs="Arial"/>
                <w:color w:val="808080"/>
                <w:sz w:val="16"/>
              </w:rPr>
              <w:t>11%2F30%</w:t>
            </w:r>
            <w:r w:rsidRPr="00161A75">
              <w:rPr>
                <w:rFonts w:ascii="Georgia" w:hAnsi="Georgia" w:cs="Arial"/>
                <w:color w:val="808080"/>
                <w:sz w:val="16"/>
              </w:rPr>
              <w:t xml:space="preserve">2F07&amp;x=0&amp;y=0 </w:t>
            </w:r>
            <w:r w:rsidRPr="0074762D">
              <w:rPr>
                <w:rFonts w:ascii="Georgia" w:hAnsi="Georgia" w:cs="Arial"/>
                <w:color w:val="808080"/>
                <w:sz w:val="16"/>
              </w:rPr>
              <w:t>[</w:t>
            </w:r>
            <w:r>
              <w:rPr>
                <w:rFonts w:ascii="Georgia" w:hAnsi="Georgia" w:cs="Arial"/>
                <w:color w:val="808080"/>
                <w:sz w:val="16"/>
              </w:rPr>
              <w:t>11/30/17]</w:t>
            </w:r>
          </w:p>
          <w:p w:rsidR="004B5DAC" w:rsidRDefault="00C4205F" w:rsidP="004B5DAC">
            <w:pPr>
              <w:rPr>
                <w:rFonts w:ascii="Georgia" w:hAnsi="Georgia" w:cs="Arial"/>
                <w:color w:val="808080"/>
                <w:sz w:val="16"/>
              </w:rPr>
            </w:pPr>
            <w:r>
              <w:rPr>
                <w:rFonts w:ascii="Georgia" w:hAnsi="Georgia" w:cs="Arial"/>
                <w:color w:val="808080"/>
                <w:sz w:val="16"/>
              </w:rPr>
              <w:t>22 - bigcharts.m</w:t>
            </w:r>
            <w:r w:rsidRPr="00161A75">
              <w:rPr>
                <w:rFonts w:ascii="Georgia" w:hAnsi="Georgia" w:cs="Arial"/>
                <w:color w:val="808080"/>
                <w:sz w:val="16"/>
              </w:rPr>
              <w:t>arketwatch.com/historical/default.asp?symb=SPX&amp;closeDate=</w:t>
            </w:r>
            <w:r>
              <w:rPr>
                <w:rFonts w:ascii="Georgia" w:hAnsi="Georgia" w:cs="Arial"/>
                <w:color w:val="808080"/>
                <w:sz w:val="16"/>
              </w:rPr>
              <w:t>11%2F30%</w:t>
            </w:r>
            <w:r w:rsidRPr="00161A75">
              <w:rPr>
                <w:rFonts w:ascii="Georgia" w:hAnsi="Georgia" w:cs="Arial"/>
                <w:color w:val="808080"/>
                <w:sz w:val="16"/>
              </w:rPr>
              <w:t xml:space="preserve">2F07&amp;x=0&amp;y=0 </w:t>
            </w:r>
            <w:r>
              <w:rPr>
                <w:rFonts w:ascii="Georgia" w:hAnsi="Georgia" w:cs="Arial"/>
                <w:color w:val="808080"/>
                <w:sz w:val="16"/>
              </w:rPr>
              <w:t>[11/30/17]</w:t>
            </w:r>
          </w:p>
          <w:p w:rsidR="00B558EA" w:rsidRDefault="00C4205F" w:rsidP="004B5DAC">
            <w:pPr>
              <w:rPr>
                <w:rFonts w:ascii="Georgia" w:hAnsi="Georgia" w:cs="Arial"/>
                <w:color w:val="808080"/>
                <w:sz w:val="16"/>
              </w:rPr>
            </w:pPr>
            <w:r>
              <w:rPr>
                <w:rFonts w:ascii="Georgia" w:hAnsi="Georgia" w:cs="Arial"/>
                <w:color w:val="808080"/>
                <w:sz w:val="16"/>
              </w:rPr>
              <w:t xml:space="preserve">23 - </w:t>
            </w:r>
            <w:r w:rsidRPr="006F3579">
              <w:rPr>
                <w:rFonts w:ascii="Georgia" w:hAnsi="Georgia" w:cs="Arial"/>
                <w:color w:val="808080"/>
                <w:sz w:val="16"/>
              </w:rPr>
              <w:t>treasury.gov/resource-center/data-chart-center/interest-rates/Pages/TextView.aspx?data=realyield</w:t>
            </w:r>
            <w:r w:rsidRPr="00E773E7">
              <w:rPr>
                <w:rFonts w:ascii="Georgia" w:hAnsi="Georgia" w:cs="Arial"/>
                <w:color w:val="808080"/>
                <w:sz w:val="16"/>
              </w:rPr>
              <w:t xml:space="preserve"> </w:t>
            </w:r>
            <w:r>
              <w:rPr>
                <w:rFonts w:ascii="Georgia" w:hAnsi="Georgia" w:cs="Arial"/>
                <w:color w:val="808080"/>
                <w:sz w:val="16"/>
              </w:rPr>
              <w:t>[11/30/17]</w:t>
            </w:r>
          </w:p>
          <w:p w:rsidR="00B558EA" w:rsidRDefault="00C4205F" w:rsidP="00B558EA">
            <w:pPr>
              <w:rPr>
                <w:rFonts w:ascii="Georgia" w:hAnsi="Georgia" w:cs="Arial"/>
                <w:color w:val="808080"/>
                <w:sz w:val="16"/>
              </w:rPr>
            </w:pPr>
            <w:r>
              <w:rPr>
                <w:rFonts w:ascii="Georgia" w:hAnsi="Georgia" w:cs="Arial"/>
                <w:color w:val="808080"/>
                <w:sz w:val="16"/>
              </w:rPr>
              <w:t>24 - treasury</w:t>
            </w:r>
            <w:r w:rsidRPr="00A8771C">
              <w:rPr>
                <w:rFonts w:ascii="Georgia" w:hAnsi="Georgia" w:cs="Arial"/>
                <w:color w:val="808080"/>
                <w:sz w:val="16"/>
              </w:rPr>
              <w:t xml:space="preserve">.gov/resource-center/data-chart-center/interest-rates/Pages/TextView.aspx?data=realyieldAll </w:t>
            </w:r>
            <w:r>
              <w:rPr>
                <w:rFonts w:ascii="Georgia" w:hAnsi="Georgia" w:cs="Arial"/>
                <w:color w:val="808080"/>
                <w:sz w:val="16"/>
              </w:rPr>
              <w:t>[11/30/17]</w:t>
            </w:r>
          </w:p>
          <w:p w:rsidR="00754FF9" w:rsidRPr="00E20CB6" w:rsidRDefault="00C4205F" w:rsidP="0030374F">
            <w:pPr>
              <w:rPr>
                <w:rFonts w:ascii="Georgia" w:hAnsi="Georgia" w:cs="Arial"/>
                <w:color w:val="808080"/>
                <w:sz w:val="16"/>
              </w:rPr>
            </w:pPr>
            <w:r>
              <w:rPr>
                <w:rFonts w:ascii="Georgia" w:hAnsi="Georgia" w:cs="Arial"/>
                <w:color w:val="808080"/>
                <w:sz w:val="16"/>
              </w:rPr>
              <w:t xml:space="preserve">25 - </w:t>
            </w:r>
            <w:r w:rsidRPr="004A4843">
              <w:rPr>
                <w:rFonts w:ascii="Georgia" w:hAnsi="Georgia" w:cs="Arial"/>
                <w:color w:val="808080"/>
                <w:sz w:val="16"/>
              </w:rPr>
              <w:t>cmegroup.com/trading/interest-rates/countdown-to-fomc.html</w:t>
            </w:r>
            <w:r w:rsidRPr="00E773E7">
              <w:rPr>
                <w:rFonts w:ascii="Georgia" w:hAnsi="Georgia" w:cs="Arial"/>
                <w:color w:val="808080"/>
                <w:sz w:val="16"/>
              </w:rPr>
              <w:t xml:space="preserve"> </w:t>
            </w:r>
            <w:r>
              <w:rPr>
                <w:rFonts w:ascii="Georgia" w:hAnsi="Georgia" w:cs="Arial"/>
                <w:color w:val="808080"/>
                <w:sz w:val="16"/>
              </w:rPr>
              <w:t>[12/1/17]</w:t>
            </w:r>
          </w:p>
        </w:tc>
      </w:tr>
    </w:tbl>
    <w:p w:rsidR="00277AE3" w:rsidRDefault="00421C58"/>
    <w:sectPr w:rsidR="00277AE3">
      <w:footerReference w:type="default" r:id="rId9"/>
      <w:pgSz w:w="12240" w:h="15840"/>
      <w:pgMar w:top="720" w:right="1584"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58" w:rsidRDefault="00421C58">
      <w:r>
        <w:separator/>
      </w:r>
    </w:p>
  </w:endnote>
  <w:endnote w:type="continuationSeparator" w:id="0">
    <w:p w:rsidR="00421C58" w:rsidRDefault="004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F3" w:rsidRDefault="00C4205F">
    <w:pPr>
      <w:jc w:val="right"/>
      <w:rPr>
        <w:sz w:val="16"/>
      </w:rPr>
    </w:pPr>
    <w:r>
      <w:rPr>
        <w:sz w:val="16"/>
      </w:rPr>
      <w:t>12072017-WS-3186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58" w:rsidRDefault="00421C58">
      <w:r>
        <w:separator/>
      </w:r>
    </w:p>
  </w:footnote>
  <w:footnote w:type="continuationSeparator" w:id="0">
    <w:p w:rsidR="00421C58" w:rsidRDefault="00421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F3"/>
    <w:rsid w:val="00421C58"/>
    <w:rsid w:val="008C70F3"/>
    <w:rsid w:val="00AC3935"/>
    <w:rsid w:val="00C4205F"/>
    <w:rsid w:val="00FD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06CBD-81EE-4D73-B634-B266D0AF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D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45D8E"/>
    <w:rPr>
      <w:rFonts w:ascii="Georgia" w:hAnsi="Georgia"/>
      <w:color w:val="003300"/>
      <w:sz w:val="20"/>
    </w:rPr>
  </w:style>
  <w:style w:type="character" w:customStyle="1" w:styleId="BodyTextChar">
    <w:name w:val="Body Text Char"/>
    <w:basedOn w:val="DefaultParagraphFont"/>
    <w:link w:val="BodyText"/>
    <w:semiHidden/>
    <w:rsid w:val="00245D8E"/>
    <w:rPr>
      <w:rFonts w:ascii="Georgia" w:eastAsia="Times New Roman" w:hAnsi="Georgia" w:cs="Times New Roman"/>
      <w:color w:val="003300"/>
      <w:sz w:val="20"/>
      <w:szCs w:val="24"/>
    </w:rPr>
  </w:style>
  <w:style w:type="paragraph" w:styleId="PlainText">
    <w:name w:val="Plain Text"/>
    <w:basedOn w:val="Normal"/>
    <w:link w:val="PlainTextChar"/>
    <w:uiPriority w:val="99"/>
    <w:unhideWhenUsed/>
    <w:rsid w:val="00245D8E"/>
    <w:rPr>
      <w:rFonts w:ascii="Consolas" w:eastAsia="Calibri" w:hAnsi="Consolas" w:cs="Consolas"/>
      <w:sz w:val="21"/>
      <w:szCs w:val="21"/>
    </w:rPr>
  </w:style>
  <w:style w:type="character" w:customStyle="1" w:styleId="PlainTextChar">
    <w:name w:val="Plain Text Char"/>
    <w:basedOn w:val="DefaultParagraphFont"/>
    <w:link w:val="PlainText"/>
    <w:uiPriority w:val="99"/>
    <w:rsid w:val="00245D8E"/>
    <w:rPr>
      <w:rFonts w:ascii="Consolas" w:eastAsia="Calibri" w:hAnsi="Consolas" w:cs="Consolas"/>
      <w:sz w:val="21"/>
      <w:szCs w:val="21"/>
    </w:rPr>
  </w:style>
  <w:style w:type="character" w:customStyle="1" w:styleId="st">
    <w:name w:val="st"/>
    <w:rsid w:val="00245D8E"/>
  </w:style>
  <w:style w:type="character" w:styleId="Hyperlink">
    <w:name w:val="Hyperlink"/>
    <w:basedOn w:val="DefaultParagraphFont"/>
    <w:uiPriority w:val="99"/>
    <w:semiHidden/>
    <w:unhideWhenUsed/>
    <w:rsid w:val="00AC3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foegen@prosperafinancia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Eberwein</dc:creator>
  <cp:lastModifiedBy>Dennis Foegen</cp:lastModifiedBy>
  <cp:revision>2</cp:revision>
  <dcterms:created xsi:type="dcterms:W3CDTF">2017-12-26T14:46:00Z</dcterms:created>
  <dcterms:modified xsi:type="dcterms:W3CDTF">2017-12-26T14:46:00Z</dcterms:modified>
</cp:coreProperties>
</file>